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fr-CH"/>
        </w:rPr>
        <w:id w:val="1973085564"/>
        <w:docPartObj>
          <w:docPartGallery w:val="Cover Pages"/>
          <w:docPartUnique/>
        </w:docPartObj>
      </w:sdtPr>
      <w:sdtEndPr/>
      <w:sdtContent>
        <w:p w14:paraId="6F2B9A5B" w14:textId="3C870D2C" w:rsidR="005D1FD7" w:rsidRPr="0042566D" w:rsidRDefault="001F0DF1" w:rsidP="00EA7B9D">
          <w:pPr>
            <w:pStyle w:val="KeinLeerraum"/>
            <w:rPr>
              <w:lang w:val="fr-CH"/>
            </w:rPr>
            <w:sectPr w:rsidR="005D1FD7" w:rsidRPr="0042566D" w:rsidSect="00A26EE3">
              <w:footerReference w:type="even" r:id="rId8"/>
              <w:footerReference w:type="default" r:id="rId9"/>
              <w:pgSz w:w="11906" w:h="16838"/>
              <w:pgMar w:top="0" w:right="0" w:bottom="0" w:left="0" w:header="709" w:footer="454" w:gutter="0"/>
              <w:pgNumType w:start="1"/>
              <w:cols w:space="708"/>
              <w:titlePg/>
              <w:docGrid w:linePitch="360"/>
            </w:sectPr>
          </w:pPr>
          <w:r w:rsidRPr="005E5973">
            <w:rPr>
              <w:noProof/>
              <w:lang w:val="fr-CH" w:eastAsia="de-CH" w:bidi="ta-IN"/>
            </w:rPr>
            <w:drawing>
              <wp:inline distT="0" distB="0" distL="0" distR="0" wp14:anchorId="1081885F" wp14:editId="063A6DD7">
                <wp:extent cx="7558858" cy="10692126"/>
                <wp:effectExtent l="0" t="0" r="0" b="1905"/>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ver-anlagereglement.png"/>
                        <pic:cNvPicPr/>
                      </pic:nvPicPr>
                      <pic:blipFill>
                        <a:blip r:embed="rId10"/>
                        <a:stretch>
                          <a:fillRect/>
                        </a:stretch>
                      </pic:blipFill>
                      <pic:spPr>
                        <a:xfrm>
                          <a:off x="0" y="0"/>
                          <a:ext cx="7558858" cy="10692126"/>
                        </a:xfrm>
                        <a:prstGeom prst="rect">
                          <a:avLst/>
                        </a:prstGeom>
                      </pic:spPr>
                    </pic:pic>
                  </a:graphicData>
                </a:graphic>
              </wp:inline>
            </w:drawing>
          </w:r>
          <w:r w:rsidR="002079BB" w:rsidRPr="005E5973">
            <w:rPr>
              <w:lang w:val="fr-CH"/>
            </w:rPr>
            <w:t xml:space="preserve"> </w:t>
          </w:r>
        </w:p>
      </w:sdtContent>
    </w:sdt>
    <w:p w14:paraId="023771D0" w14:textId="6392F3EB" w:rsidR="005D1FD7" w:rsidRPr="005E5973" w:rsidRDefault="005D1FD7" w:rsidP="005D1FD7">
      <w:pPr>
        <w:rPr>
          <w:rFonts w:ascii="Arial" w:hAnsi="Arial" w:cs="Arial"/>
          <w:b/>
          <w:sz w:val="40"/>
          <w:szCs w:val="40"/>
          <w:lang w:val="fr-CH"/>
        </w:rPr>
        <w:sectPr w:rsidR="005D1FD7" w:rsidRPr="005E5973" w:rsidSect="00B23CCA">
          <w:pgSz w:w="11906" w:h="16838"/>
          <w:pgMar w:top="1417" w:right="1417" w:bottom="1134" w:left="1417" w:header="708" w:footer="454" w:gutter="0"/>
          <w:pgNumType w:start="1"/>
          <w:cols w:space="708"/>
          <w:titlePg/>
          <w:docGrid w:linePitch="360"/>
        </w:sectPr>
      </w:pPr>
      <w:r w:rsidRPr="005E5973">
        <w:rPr>
          <w:noProof/>
          <w:lang w:val="fr-CH" w:eastAsia="de-CH" w:bidi="ta-IN"/>
        </w:rPr>
        <w:lastRenderedPageBreak/>
        <mc:AlternateContent>
          <mc:Choice Requires="wps">
            <w:drawing>
              <wp:anchor distT="0" distB="0" distL="114300" distR="114300" simplePos="0" relativeHeight="251659264" behindDoc="0" locked="0" layoutInCell="1" allowOverlap="1" wp14:anchorId="17A478A8" wp14:editId="53867FAD">
                <wp:simplePos x="0" y="0"/>
                <wp:positionH relativeFrom="column">
                  <wp:posOffset>27355</wp:posOffset>
                </wp:positionH>
                <wp:positionV relativeFrom="paragraph">
                  <wp:posOffset>6582988</wp:posOffset>
                </wp:positionV>
                <wp:extent cx="4504690" cy="2194560"/>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4504690" cy="2194560"/>
                        </a:xfrm>
                        <a:prstGeom prst="rect">
                          <a:avLst/>
                        </a:prstGeom>
                        <a:noFill/>
                        <a:ln>
                          <a:noFill/>
                        </a:ln>
                        <a:effectLst/>
                      </wps:spPr>
                      <wps:txbx>
                        <w:txbxContent>
                          <w:p w14:paraId="79612EE3" w14:textId="77777777" w:rsidR="002079BB" w:rsidRDefault="002079BB" w:rsidP="005D1FD7"/>
                          <w:p w14:paraId="2050AEFB" w14:textId="77777777" w:rsidR="002079BB" w:rsidRDefault="002079BB" w:rsidP="005D1FD7"/>
                          <w:p w14:paraId="5255980B" w14:textId="77777777" w:rsidR="002079BB" w:rsidRDefault="002079BB" w:rsidP="005D1FD7"/>
                          <w:p w14:paraId="38B6B510" w14:textId="24F6515F" w:rsidR="002079BB" w:rsidRPr="002B3AEC" w:rsidRDefault="002079BB" w:rsidP="005D1FD7">
                            <w:pPr>
                              <w:rPr>
                                <w:rFonts w:ascii="Arial" w:hAnsi="Arial" w:cs="Arial"/>
                                <w:b/>
                                <w:sz w:val="16"/>
                                <w:szCs w:val="16"/>
                              </w:rPr>
                            </w:pPr>
                            <w:r w:rsidRPr="002079BB">
                              <w:rPr>
                                <w:rFonts w:ascii="Arial" w:hAnsi="Arial" w:cs="Arial"/>
                                <w:b/>
                                <w:sz w:val="16"/>
                                <w:szCs w:val="16"/>
                                <w:lang w:val="fr-CH"/>
                              </w:rPr>
                              <w:t>Mentions légales</w:t>
                            </w:r>
                          </w:p>
                          <w:p w14:paraId="544D0333" w14:textId="77777777" w:rsidR="002079BB" w:rsidRPr="002B3AEC" w:rsidRDefault="002079BB" w:rsidP="005D1FD7">
                            <w:pPr>
                              <w:rPr>
                                <w:rFonts w:ascii="Arial" w:hAnsi="Arial" w:cs="Arial"/>
                                <w:b/>
                                <w:sz w:val="16"/>
                                <w:szCs w:val="16"/>
                              </w:rPr>
                            </w:pPr>
                          </w:p>
                          <w:p w14:paraId="298093F2" w14:textId="08264704" w:rsidR="002079BB" w:rsidRPr="002B3AEC" w:rsidRDefault="002079BB" w:rsidP="005D1FD7">
                            <w:pPr>
                              <w:pStyle w:val="p1"/>
                              <w:rPr>
                                <w:rFonts w:ascii="Arial" w:hAnsi="Arial" w:cs="Arial"/>
                                <w:sz w:val="16"/>
                                <w:szCs w:val="16"/>
                              </w:rPr>
                            </w:pPr>
                            <w:r w:rsidRPr="002079BB">
                              <w:rPr>
                                <w:rFonts w:ascii="Arial" w:hAnsi="Arial" w:cs="Arial"/>
                                <w:b/>
                                <w:bCs/>
                                <w:sz w:val="16"/>
                                <w:szCs w:val="16"/>
                                <w:lang w:val="fr-CH"/>
                              </w:rPr>
                              <w:t>Éditrice</w:t>
                            </w:r>
                          </w:p>
                          <w:p w14:paraId="44B86B47" w14:textId="3940081D" w:rsidR="002079BB" w:rsidRPr="002B3AEC" w:rsidRDefault="002079BB" w:rsidP="005D1FD7">
                            <w:pPr>
                              <w:pStyle w:val="p1"/>
                              <w:rPr>
                                <w:rFonts w:ascii="Arial" w:hAnsi="Arial" w:cs="Arial"/>
                                <w:sz w:val="16"/>
                                <w:szCs w:val="16"/>
                              </w:rPr>
                            </w:pPr>
                            <w:r w:rsidRPr="002079BB">
                              <w:rPr>
                                <w:rFonts w:ascii="Arial" w:hAnsi="Arial" w:cs="Arial"/>
                                <w:sz w:val="16"/>
                                <w:szCs w:val="16"/>
                                <w:lang w:val="fr-CH"/>
                              </w:rPr>
                              <w:t xml:space="preserve">Fondation </w:t>
                            </w:r>
                            <w:proofErr w:type="spellStart"/>
                            <w:r w:rsidRPr="002079BB">
                              <w:rPr>
                                <w:rFonts w:ascii="Arial" w:hAnsi="Arial" w:cs="Arial"/>
                                <w:sz w:val="16"/>
                                <w:szCs w:val="16"/>
                                <w:lang w:val="fr-CH"/>
                              </w:rPr>
                              <w:t>Zewo</w:t>
                            </w:r>
                            <w:proofErr w:type="spellEnd"/>
                          </w:p>
                          <w:p w14:paraId="71F85DC1" w14:textId="43D0B612" w:rsidR="002079BB" w:rsidRPr="002B3AEC" w:rsidRDefault="002079BB" w:rsidP="005D1FD7">
                            <w:pPr>
                              <w:pStyle w:val="p1"/>
                              <w:rPr>
                                <w:rFonts w:ascii="Arial" w:hAnsi="Arial" w:cs="Arial"/>
                                <w:sz w:val="16"/>
                                <w:szCs w:val="16"/>
                              </w:rPr>
                            </w:pPr>
                            <w:proofErr w:type="spellStart"/>
                            <w:r w:rsidRPr="002079BB">
                              <w:rPr>
                                <w:rFonts w:ascii="Arial" w:hAnsi="Arial" w:cs="Arial"/>
                                <w:sz w:val="16"/>
                                <w:szCs w:val="16"/>
                                <w:lang w:val="fr-CH"/>
                              </w:rPr>
                              <w:t>Pfingstweidstrasse</w:t>
                            </w:r>
                            <w:proofErr w:type="spellEnd"/>
                            <w:r w:rsidRPr="002079BB">
                              <w:rPr>
                                <w:rFonts w:ascii="Arial" w:hAnsi="Arial" w:cs="Arial"/>
                                <w:sz w:val="16"/>
                                <w:szCs w:val="16"/>
                                <w:lang w:val="fr-CH"/>
                              </w:rPr>
                              <w:t xml:space="preserve"> 10</w:t>
                            </w:r>
                          </w:p>
                          <w:p w14:paraId="6031A295" w14:textId="572A4621" w:rsidR="002079BB" w:rsidRPr="002B3AEC" w:rsidRDefault="002079BB" w:rsidP="005D1FD7">
                            <w:pPr>
                              <w:pStyle w:val="p1"/>
                              <w:rPr>
                                <w:rFonts w:ascii="Arial" w:hAnsi="Arial" w:cs="Arial"/>
                                <w:sz w:val="16"/>
                                <w:szCs w:val="16"/>
                              </w:rPr>
                            </w:pPr>
                            <w:r w:rsidRPr="002079BB">
                              <w:rPr>
                                <w:rFonts w:ascii="Arial" w:hAnsi="Arial" w:cs="Arial"/>
                                <w:sz w:val="16"/>
                                <w:szCs w:val="16"/>
                                <w:lang w:val="fr-CH"/>
                              </w:rPr>
                              <w:t>8005 Zurich</w:t>
                            </w:r>
                          </w:p>
                          <w:p w14:paraId="6B371680" w14:textId="679A09C0" w:rsidR="002079BB" w:rsidRPr="002B3AEC" w:rsidRDefault="002079BB" w:rsidP="005D1FD7">
                            <w:pPr>
                              <w:pStyle w:val="p1"/>
                              <w:rPr>
                                <w:rFonts w:ascii="Arial" w:hAnsi="Arial" w:cs="Arial"/>
                                <w:sz w:val="16"/>
                                <w:szCs w:val="16"/>
                              </w:rPr>
                            </w:pPr>
                            <w:r w:rsidRPr="002079BB">
                              <w:rPr>
                                <w:rFonts w:ascii="Arial" w:hAnsi="Arial" w:cs="Arial"/>
                                <w:sz w:val="16"/>
                                <w:szCs w:val="16"/>
                                <w:lang w:val="fr-CH"/>
                              </w:rPr>
                              <w:t>info@zewo.ch</w:t>
                            </w:r>
                          </w:p>
                          <w:p w14:paraId="3B672DAD" w14:textId="1C8E3C83" w:rsidR="002079BB" w:rsidRPr="002B3AEC" w:rsidRDefault="002079BB" w:rsidP="005D1FD7">
                            <w:pPr>
                              <w:pStyle w:val="p1"/>
                              <w:rPr>
                                <w:rFonts w:ascii="Arial" w:hAnsi="Arial" w:cs="Arial"/>
                                <w:sz w:val="16"/>
                                <w:szCs w:val="16"/>
                              </w:rPr>
                            </w:pPr>
                            <w:r w:rsidRPr="002079BB">
                              <w:rPr>
                                <w:rFonts w:ascii="Arial" w:hAnsi="Arial" w:cs="Arial"/>
                                <w:sz w:val="16"/>
                                <w:szCs w:val="16"/>
                                <w:lang w:val="fr-CH"/>
                              </w:rPr>
                              <w:t>www.zewo.ch</w:t>
                            </w:r>
                          </w:p>
                          <w:p w14:paraId="00502563" w14:textId="77777777" w:rsidR="002079BB" w:rsidRPr="002B3AEC" w:rsidRDefault="002079BB" w:rsidP="005D1FD7">
                            <w:pPr>
                              <w:pStyle w:val="p2"/>
                              <w:rPr>
                                <w:rFonts w:ascii="Arial" w:hAnsi="Arial" w:cs="Arial"/>
                                <w:sz w:val="16"/>
                                <w:szCs w:val="16"/>
                              </w:rPr>
                            </w:pPr>
                          </w:p>
                          <w:p w14:paraId="1DB6EAC8" w14:textId="77777777" w:rsidR="002079BB" w:rsidRPr="002B3AEC" w:rsidRDefault="002079BB" w:rsidP="005D1FD7">
                            <w:pPr>
                              <w:pStyle w:val="p2"/>
                              <w:rPr>
                                <w:rFonts w:ascii="Arial" w:hAnsi="Arial" w:cs="Arial"/>
                                <w:sz w:val="16"/>
                                <w:szCs w:val="16"/>
                              </w:rPr>
                            </w:pPr>
                          </w:p>
                          <w:p w14:paraId="0D59CDC2" w14:textId="0C20A766" w:rsidR="002079BB" w:rsidRPr="0042566D" w:rsidRDefault="002079BB" w:rsidP="005D1FD7">
                            <w:pPr>
                              <w:pStyle w:val="p1"/>
                              <w:rPr>
                                <w:rFonts w:ascii="Arial" w:hAnsi="Arial" w:cs="Arial"/>
                                <w:sz w:val="16"/>
                                <w:szCs w:val="16"/>
                                <w:lang w:val="en-US"/>
                              </w:rPr>
                            </w:pPr>
                            <w:r w:rsidRPr="002079BB">
                              <w:rPr>
                                <w:rFonts w:ascii="Arial" w:hAnsi="Arial" w:cs="Arial"/>
                                <w:sz w:val="16"/>
                                <w:szCs w:val="16"/>
                                <w:lang w:val="fr-CH"/>
                              </w:rPr>
                              <w:t xml:space="preserve">© Fondation </w:t>
                            </w:r>
                            <w:proofErr w:type="spellStart"/>
                            <w:r w:rsidRPr="002079BB">
                              <w:rPr>
                                <w:rFonts w:ascii="Arial" w:hAnsi="Arial" w:cs="Arial"/>
                                <w:sz w:val="16"/>
                                <w:szCs w:val="16"/>
                                <w:lang w:val="fr-CH"/>
                              </w:rPr>
                              <w:t>Zewo</w:t>
                            </w:r>
                            <w:proofErr w:type="spellEnd"/>
                            <w:r w:rsidRPr="002079BB">
                              <w:rPr>
                                <w:rFonts w:ascii="Arial" w:hAnsi="Arial" w:cs="Arial"/>
                                <w:sz w:val="16"/>
                                <w:szCs w:val="16"/>
                                <w:lang w:val="fr-CH"/>
                              </w:rPr>
                              <w:t>, août 2017</w:t>
                            </w:r>
                          </w:p>
                          <w:p w14:paraId="493737D5" w14:textId="44029F46" w:rsidR="002079BB" w:rsidRPr="0042566D" w:rsidRDefault="002079BB" w:rsidP="005D1FD7">
                            <w:pPr>
                              <w:pStyle w:val="p1"/>
                              <w:rPr>
                                <w:rFonts w:ascii="Arial" w:hAnsi="Arial" w:cs="Arial"/>
                                <w:sz w:val="16"/>
                                <w:szCs w:val="16"/>
                                <w:lang w:val="en-US"/>
                              </w:rPr>
                            </w:pPr>
                            <w:r w:rsidRPr="002079BB">
                              <w:rPr>
                                <w:rFonts w:ascii="Arial" w:hAnsi="Arial" w:cs="Arial"/>
                                <w:sz w:val="16"/>
                                <w:szCs w:val="16"/>
                                <w:lang w:val="fr-CH"/>
                              </w:rPr>
                              <w:t>Réimpression, même partielle, autorisée uniquement avec indication de la source.</w:t>
                            </w:r>
                          </w:p>
                          <w:p w14:paraId="073A531B" w14:textId="2D513422" w:rsidR="002079BB" w:rsidRPr="0042566D" w:rsidRDefault="002079BB" w:rsidP="005D1FD7">
                            <w:pPr>
                              <w:pStyle w:val="p1"/>
                              <w:rPr>
                                <w:rFonts w:ascii="Arial" w:hAnsi="Arial" w:cs="Arial"/>
                                <w:sz w:val="16"/>
                                <w:szCs w:val="16"/>
                                <w:lang w:val="en-US"/>
                              </w:rPr>
                            </w:pPr>
                            <w:r w:rsidRPr="002079BB">
                              <w:rPr>
                                <w:rFonts w:ascii="Arial" w:hAnsi="Arial" w:cs="Arial"/>
                                <w:sz w:val="16"/>
                                <w:szCs w:val="16"/>
                                <w:lang w:val="fr-CH"/>
                              </w:rPr>
                              <w:t xml:space="preserve">La Fondation </w:t>
                            </w:r>
                            <w:proofErr w:type="spellStart"/>
                            <w:r w:rsidRPr="002079BB">
                              <w:rPr>
                                <w:rFonts w:ascii="Arial" w:hAnsi="Arial" w:cs="Arial"/>
                                <w:sz w:val="16"/>
                                <w:szCs w:val="16"/>
                                <w:lang w:val="fr-CH"/>
                              </w:rPr>
                              <w:t>Zewo</w:t>
                            </w:r>
                            <w:proofErr w:type="spellEnd"/>
                            <w:r w:rsidRPr="002079BB">
                              <w:rPr>
                                <w:rFonts w:ascii="Arial" w:hAnsi="Arial" w:cs="Arial"/>
                                <w:sz w:val="16"/>
                                <w:szCs w:val="16"/>
                                <w:lang w:val="fr-CH"/>
                              </w:rPr>
                              <w:t xml:space="preserve"> décline toute responsabilité pour les informations incomplètes ou erronées.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A478A8" id="_x0000_t202" coordsize="21600,21600" o:spt="202" path="m,l,21600r21600,l21600,xe">
                <v:stroke joinstyle="miter"/>
                <v:path gradientshapeok="t" o:connecttype="rect"/>
              </v:shapetype>
              <v:shape id="Textfeld 1" o:spid="_x0000_s1026" type="#_x0000_t202" style="position:absolute;margin-left:2.15pt;margin-top:518.35pt;width:354.7pt;height:17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" filled="f" stroked="f">
                <v:textbox>
                  <w:txbxContent>
                    <w:p w14:paraId="79612EE3" w14:textId="77777777" w:rsidR="002079BB" w:rsidRDefault="002079BB" w:rsidP="005D1FD7"/>
                    <w:p w14:paraId="2050AEFB" w14:textId="77777777" w:rsidR="002079BB" w:rsidRDefault="002079BB" w:rsidP="005D1FD7"/>
                    <w:p w14:paraId="5255980B" w14:textId="77777777" w:rsidR="002079BB" w:rsidRDefault="002079BB" w:rsidP="005D1FD7"/>
                    <w:p w14:paraId="38B6B510" w14:textId="24F6515F" w:rsidR="002079BB" w:rsidRPr="002B3AEC" w:rsidRDefault="002079BB" w:rsidP="005D1FD7">
                      <w:pPr>
                        <w:rPr>
                          <w:rFonts w:ascii="Arial" w:hAnsi="Arial" w:cs="Arial"/>
                          <w:b/>
                          <w:sz w:val="16"/>
                          <w:szCs w:val="16"/>
                        </w:rPr>
                      </w:pPr>
                      <w:r w:rsidRPr="002079BB">
                        <w:rPr>
                          <w:rFonts w:ascii="Arial" w:hAnsi="Arial" w:cs="Arial"/>
                          <w:b/>
                          <w:sz w:val="16"/>
                          <w:szCs w:val="16"/>
                          <w:lang w:val="fr-CH"/>
                        </w:rPr>
                        <w:t>Mentions légales</w:t>
                      </w:r>
                    </w:p>
                    <w:p w14:paraId="544D0333" w14:textId="77777777" w:rsidR="002079BB" w:rsidRPr="002B3AEC" w:rsidRDefault="002079BB" w:rsidP="005D1FD7">
                      <w:pPr>
                        <w:rPr>
                          <w:rFonts w:ascii="Arial" w:hAnsi="Arial" w:cs="Arial"/>
                          <w:b/>
                          <w:sz w:val="16"/>
                          <w:szCs w:val="16"/>
                        </w:rPr>
                      </w:pPr>
                    </w:p>
                    <w:p w14:paraId="298093F2" w14:textId="08264704" w:rsidR="002079BB" w:rsidRPr="002B3AEC" w:rsidRDefault="002079BB" w:rsidP="005D1FD7">
                      <w:pPr>
                        <w:pStyle w:val="p1"/>
                        <w:rPr>
                          <w:rFonts w:ascii="Arial" w:hAnsi="Arial" w:cs="Arial"/>
                          <w:sz w:val="16"/>
                          <w:szCs w:val="16"/>
                        </w:rPr>
                      </w:pPr>
                      <w:r w:rsidRPr="002079BB">
                        <w:rPr>
                          <w:rFonts w:ascii="Arial" w:hAnsi="Arial" w:cs="Arial"/>
                          <w:b/>
                          <w:bCs/>
                          <w:sz w:val="16"/>
                          <w:szCs w:val="16"/>
                          <w:lang w:val="fr-CH"/>
                        </w:rPr>
                        <w:t>Éditrice</w:t>
                      </w:r>
                    </w:p>
                    <w:p w14:paraId="44B86B47" w14:textId="3940081D" w:rsidR="002079BB" w:rsidRPr="002B3AEC" w:rsidRDefault="002079BB" w:rsidP="005D1FD7">
                      <w:pPr>
                        <w:pStyle w:val="p1"/>
                        <w:rPr>
                          <w:rFonts w:ascii="Arial" w:hAnsi="Arial" w:cs="Arial"/>
                          <w:sz w:val="16"/>
                          <w:szCs w:val="16"/>
                        </w:rPr>
                      </w:pPr>
                      <w:r w:rsidRPr="002079BB">
                        <w:rPr>
                          <w:rFonts w:ascii="Arial" w:hAnsi="Arial" w:cs="Arial"/>
                          <w:sz w:val="16"/>
                          <w:szCs w:val="16"/>
                          <w:lang w:val="fr-CH"/>
                        </w:rPr>
                        <w:t xml:space="preserve">Fondation </w:t>
                      </w:r>
                      <w:proofErr w:type="spellStart"/>
                      <w:r w:rsidRPr="002079BB">
                        <w:rPr>
                          <w:rFonts w:ascii="Arial" w:hAnsi="Arial" w:cs="Arial"/>
                          <w:sz w:val="16"/>
                          <w:szCs w:val="16"/>
                          <w:lang w:val="fr-CH"/>
                        </w:rPr>
                        <w:t>Zewo</w:t>
                      </w:r>
                      <w:proofErr w:type="spellEnd"/>
                    </w:p>
                    <w:p w14:paraId="71F85DC1" w14:textId="43D0B612" w:rsidR="002079BB" w:rsidRPr="002B3AEC" w:rsidRDefault="002079BB" w:rsidP="005D1FD7">
                      <w:pPr>
                        <w:pStyle w:val="p1"/>
                        <w:rPr>
                          <w:rFonts w:ascii="Arial" w:hAnsi="Arial" w:cs="Arial"/>
                          <w:sz w:val="16"/>
                          <w:szCs w:val="16"/>
                        </w:rPr>
                      </w:pPr>
                      <w:proofErr w:type="spellStart"/>
                      <w:r w:rsidRPr="002079BB">
                        <w:rPr>
                          <w:rFonts w:ascii="Arial" w:hAnsi="Arial" w:cs="Arial"/>
                          <w:sz w:val="16"/>
                          <w:szCs w:val="16"/>
                          <w:lang w:val="fr-CH"/>
                        </w:rPr>
                        <w:t>Pfingstweidstrasse</w:t>
                      </w:r>
                      <w:proofErr w:type="spellEnd"/>
                      <w:r w:rsidRPr="002079BB">
                        <w:rPr>
                          <w:rFonts w:ascii="Arial" w:hAnsi="Arial" w:cs="Arial"/>
                          <w:sz w:val="16"/>
                          <w:szCs w:val="16"/>
                          <w:lang w:val="fr-CH"/>
                        </w:rPr>
                        <w:t xml:space="preserve"> 10</w:t>
                      </w:r>
                    </w:p>
                    <w:p w14:paraId="6031A295" w14:textId="572A4621" w:rsidR="002079BB" w:rsidRPr="002B3AEC" w:rsidRDefault="002079BB" w:rsidP="005D1FD7">
                      <w:pPr>
                        <w:pStyle w:val="p1"/>
                        <w:rPr>
                          <w:rFonts w:ascii="Arial" w:hAnsi="Arial" w:cs="Arial"/>
                          <w:sz w:val="16"/>
                          <w:szCs w:val="16"/>
                        </w:rPr>
                      </w:pPr>
                      <w:r w:rsidRPr="002079BB">
                        <w:rPr>
                          <w:rFonts w:ascii="Arial" w:hAnsi="Arial" w:cs="Arial"/>
                          <w:sz w:val="16"/>
                          <w:szCs w:val="16"/>
                          <w:lang w:val="fr-CH"/>
                        </w:rPr>
                        <w:t>8005 Zurich</w:t>
                      </w:r>
                    </w:p>
                    <w:p w14:paraId="6B371680" w14:textId="679A09C0" w:rsidR="002079BB" w:rsidRPr="002B3AEC" w:rsidRDefault="002079BB" w:rsidP="005D1FD7">
                      <w:pPr>
                        <w:pStyle w:val="p1"/>
                        <w:rPr>
                          <w:rFonts w:ascii="Arial" w:hAnsi="Arial" w:cs="Arial"/>
                          <w:sz w:val="16"/>
                          <w:szCs w:val="16"/>
                        </w:rPr>
                      </w:pPr>
                      <w:r w:rsidRPr="002079BB">
                        <w:rPr>
                          <w:rFonts w:ascii="Arial" w:hAnsi="Arial" w:cs="Arial"/>
                          <w:sz w:val="16"/>
                          <w:szCs w:val="16"/>
                          <w:lang w:val="fr-CH"/>
                        </w:rPr>
                        <w:t>info@zewo.ch</w:t>
                      </w:r>
                    </w:p>
                    <w:p w14:paraId="3B672DAD" w14:textId="1C8E3C83" w:rsidR="002079BB" w:rsidRPr="002B3AEC" w:rsidRDefault="002079BB" w:rsidP="005D1FD7">
                      <w:pPr>
                        <w:pStyle w:val="p1"/>
                        <w:rPr>
                          <w:rFonts w:ascii="Arial" w:hAnsi="Arial" w:cs="Arial"/>
                          <w:sz w:val="16"/>
                          <w:szCs w:val="16"/>
                        </w:rPr>
                      </w:pPr>
                      <w:r w:rsidRPr="002079BB">
                        <w:rPr>
                          <w:rFonts w:ascii="Arial" w:hAnsi="Arial" w:cs="Arial"/>
                          <w:sz w:val="16"/>
                          <w:szCs w:val="16"/>
                          <w:lang w:val="fr-CH"/>
                        </w:rPr>
                        <w:t>www.zewo.ch</w:t>
                      </w:r>
                    </w:p>
                    <w:p w14:paraId="00502563" w14:textId="77777777" w:rsidR="002079BB" w:rsidRPr="002B3AEC" w:rsidRDefault="002079BB" w:rsidP="005D1FD7">
                      <w:pPr>
                        <w:pStyle w:val="p2"/>
                        <w:rPr>
                          <w:rFonts w:ascii="Arial" w:hAnsi="Arial" w:cs="Arial"/>
                          <w:sz w:val="16"/>
                          <w:szCs w:val="16"/>
                        </w:rPr>
                      </w:pPr>
                    </w:p>
                    <w:p w14:paraId="1DB6EAC8" w14:textId="77777777" w:rsidR="002079BB" w:rsidRPr="002B3AEC" w:rsidRDefault="002079BB" w:rsidP="005D1FD7">
                      <w:pPr>
                        <w:pStyle w:val="p2"/>
                        <w:rPr>
                          <w:rFonts w:ascii="Arial" w:hAnsi="Arial" w:cs="Arial"/>
                          <w:sz w:val="16"/>
                          <w:szCs w:val="16"/>
                        </w:rPr>
                      </w:pPr>
                    </w:p>
                    <w:p w14:paraId="0D59CDC2" w14:textId="0C20A766" w:rsidR="002079BB" w:rsidRPr="0042566D" w:rsidRDefault="002079BB" w:rsidP="005D1FD7">
                      <w:pPr>
                        <w:pStyle w:val="p1"/>
                        <w:rPr>
                          <w:rFonts w:ascii="Arial" w:hAnsi="Arial" w:cs="Arial"/>
                          <w:sz w:val="16"/>
                          <w:szCs w:val="16"/>
                          <w:lang w:val="en-US"/>
                        </w:rPr>
                      </w:pPr>
                      <w:r w:rsidRPr="002079BB">
                        <w:rPr>
                          <w:rFonts w:ascii="Arial" w:hAnsi="Arial" w:cs="Arial"/>
                          <w:sz w:val="16"/>
                          <w:szCs w:val="16"/>
                          <w:lang w:val="fr-CH"/>
                        </w:rPr>
                        <w:t xml:space="preserve">© Fondation </w:t>
                      </w:r>
                      <w:proofErr w:type="spellStart"/>
                      <w:r w:rsidRPr="002079BB">
                        <w:rPr>
                          <w:rFonts w:ascii="Arial" w:hAnsi="Arial" w:cs="Arial"/>
                          <w:sz w:val="16"/>
                          <w:szCs w:val="16"/>
                          <w:lang w:val="fr-CH"/>
                        </w:rPr>
                        <w:t>Zewo</w:t>
                      </w:r>
                      <w:proofErr w:type="spellEnd"/>
                      <w:r w:rsidRPr="002079BB">
                        <w:rPr>
                          <w:rFonts w:ascii="Arial" w:hAnsi="Arial" w:cs="Arial"/>
                          <w:sz w:val="16"/>
                          <w:szCs w:val="16"/>
                          <w:lang w:val="fr-CH"/>
                        </w:rPr>
                        <w:t>, août 2017</w:t>
                      </w:r>
                    </w:p>
                    <w:p w14:paraId="493737D5" w14:textId="44029F46" w:rsidR="002079BB" w:rsidRPr="0042566D" w:rsidRDefault="002079BB" w:rsidP="005D1FD7">
                      <w:pPr>
                        <w:pStyle w:val="p1"/>
                        <w:rPr>
                          <w:rFonts w:ascii="Arial" w:hAnsi="Arial" w:cs="Arial"/>
                          <w:sz w:val="16"/>
                          <w:szCs w:val="16"/>
                          <w:lang w:val="en-US"/>
                        </w:rPr>
                      </w:pPr>
                      <w:r w:rsidRPr="002079BB">
                        <w:rPr>
                          <w:rFonts w:ascii="Arial" w:hAnsi="Arial" w:cs="Arial"/>
                          <w:sz w:val="16"/>
                          <w:szCs w:val="16"/>
                          <w:lang w:val="fr-CH"/>
                        </w:rPr>
                        <w:t>Réimpression, même partielle, autorisée uniquement avec indication de la source.</w:t>
                      </w:r>
                    </w:p>
                    <w:p w14:paraId="073A531B" w14:textId="2D513422" w:rsidR="002079BB" w:rsidRPr="0042566D" w:rsidRDefault="002079BB" w:rsidP="005D1FD7">
                      <w:pPr>
                        <w:pStyle w:val="p1"/>
                        <w:rPr>
                          <w:rFonts w:ascii="Arial" w:hAnsi="Arial" w:cs="Arial"/>
                          <w:sz w:val="16"/>
                          <w:szCs w:val="16"/>
                          <w:lang w:val="en-US"/>
                        </w:rPr>
                      </w:pPr>
                      <w:r w:rsidRPr="002079BB">
                        <w:rPr>
                          <w:rFonts w:ascii="Arial" w:hAnsi="Arial" w:cs="Arial"/>
                          <w:sz w:val="16"/>
                          <w:szCs w:val="16"/>
                          <w:lang w:val="fr-CH"/>
                        </w:rPr>
                        <w:t xml:space="preserve">La Fondation </w:t>
                      </w:r>
                      <w:proofErr w:type="spellStart"/>
                      <w:r w:rsidRPr="002079BB">
                        <w:rPr>
                          <w:rFonts w:ascii="Arial" w:hAnsi="Arial" w:cs="Arial"/>
                          <w:sz w:val="16"/>
                          <w:szCs w:val="16"/>
                          <w:lang w:val="fr-CH"/>
                        </w:rPr>
                        <w:t>Zewo</w:t>
                      </w:r>
                      <w:proofErr w:type="spellEnd"/>
                      <w:r w:rsidRPr="002079BB">
                        <w:rPr>
                          <w:rFonts w:ascii="Arial" w:hAnsi="Arial" w:cs="Arial"/>
                          <w:sz w:val="16"/>
                          <w:szCs w:val="16"/>
                          <w:lang w:val="fr-CH"/>
                        </w:rPr>
                        <w:t xml:space="preserve"> décline toute responsabilité pour les informations incomplètes ou erronées.</w:t>
                      </w:r>
                    </w:p>
                  </w:txbxContent>
                </v:textbox>
                <w10:wrap type="square"/>
              </v:shape>
            </w:pict>
          </mc:Fallback>
        </mc:AlternateContent>
      </w:r>
    </w:p>
    <w:p w14:paraId="7A0C30FF" w14:textId="11283AC1" w:rsidR="00CD3410" w:rsidRPr="005E5973" w:rsidRDefault="004F35D9" w:rsidP="00567EB3">
      <w:pPr>
        <w:outlineLvl w:val="0"/>
        <w:rPr>
          <w:rFonts w:ascii="Arial" w:hAnsi="Arial" w:cs="Arial"/>
          <w:b/>
          <w:color w:val="9B1D23"/>
          <w:sz w:val="40"/>
          <w:szCs w:val="40"/>
          <w:lang w:val="fr-CH"/>
        </w:rPr>
      </w:pPr>
      <w:r w:rsidRPr="005E5973">
        <w:rPr>
          <w:rFonts w:ascii="Arial" w:hAnsi="Arial" w:cs="Arial"/>
          <w:b/>
          <w:color w:val="9B1D23"/>
          <w:sz w:val="40"/>
          <w:szCs w:val="40"/>
          <w:lang w:val="fr-CH"/>
        </w:rPr>
        <w:lastRenderedPageBreak/>
        <w:t>SOMMAIRE</w:t>
      </w:r>
    </w:p>
    <w:p w14:paraId="40C091EF" w14:textId="77777777" w:rsidR="00CD3410" w:rsidRPr="005E5973" w:rsidRDefault="00CD3410" w:rsidP="00CD3410">
      <w:pPr>
        <w:rPr>
          <w:rFonts w:ascii="Arial" w:hAnsi="Arial" w:cs="Arial"/>
          <w:b/>
          <w:lang w:val="fr-CH"/>
        </w:rPr>
      </w:pPr>
    </w:p>
    <w:p w14:paraId="36AB5BDC" w14:textId="77777777" w:rsidR="00CD3410" w:rsidRPr="005E5973" w:rsidRDefault="00CD3410" w:rsidP="00CD3410">
      <w:pPr>
        <w:rPr>
          <w:rFonts w:ascii="Arial" w:hAnsi="Arial" w:cs="Arial"/>
          <w:sz w:val="20"/>
          <w:szCs w:val="20"/>
          <w:lang w:val="fr-CH"/>
        </w:rPr>
      </w:pPr>
    </w:p>
    <w:p w14:paraId="66EFDF2F" w14:textId="77777777" w:rsidR="00CD3410" w:rsidRPr="005E5973" w:rsidRDefault="00CD3410" w:rsidP="00CD3410">
      <w:pPr>
        <w:rPr>
          <w:rFonts w:ascii="Arial" w:hAnsi="Arial" w:cs="Arial"/>
          <w:sz w:val="20"/>
          <w:szCs w:val="20"/>
          <w:lang w:val="fr-CH"/>
        </w:rPr>
      </w:pPr>
    </w:p>
    <w:p w14:paraId="1B520D3B" w14:textId="77777777" w:rsidR="00CD3410" w:rsidRPr="005E5973" w:rsidRDefault="00CD3410" w:rsidP="00CD3410">
      <w:pPr>
        <w:rPr>
          <w:rFonts w:ascii="Arial" w:hAnsi="Arial" w:cs="Arial"/>
          <w:sz w:val="20"/>
          <w:szCs w:val="20"/>
          <w:lang w:val="fr-CH"/>
        </w:rPr>
      </w:pPr>
    </w:p>
    <w:p w14:paraId="35D24D47" w14:textId="77777777" w:rsidR="00CD3410" w:rsidRPr="005E5973" w:rsidRDefault="00CD3410" w:rsidP="00CD3410">
      <w:pPr>
        <w:rPr>
          <w:rFonts w:ascii="Arial" w:hAnsi="Arial" w:cs="Arial"/>
          <w:sz w:val="20"/>
          <w:szCs w:val="20"/>
          <w:lang w:val="fr-CH"/>
        </w:rPr>
      </w:pPr>
    </w:p>
    <w:p w14:paraId="5FEB6326" w14:textId="77777777" w:rsidR="00CD3410" w:rsidRPr="005E5973" w:rsidRDefault="00CD3410" w:rsidP="00CD3410">
      <w:pPr>
        <w:rPr>
          <w:rFonts w:ascii="Arial" w:hAnsi="Arial" w:cs="Arial"/>
          <w:sz w:val="20"/>
          <w:szCs w:val="20"/>
          <w:lang w:val="fr-CH"/>
        </w:rPr>
      </w:pPr>
    </w:p>
    <w:p w14:paraId="64479825" w14:textId="77777777" w:rsidR="00CD3410" w:rsidRPr="005E5973" w:rsidRDefault="00CD3410" w:rsidP="00CD3410">
      <w:pPr>
        <w:rPr>
          <w:rFonts w:ascii="Arial" w:hAnsi="Arial" w:cs="Arial"/>
          <w:sz w:val="20"/>
          <w:szCs w:val="20"/>
          <w:lang w:val="fr-CH"/>
        </w:rPr>
      </w:pPr>
    </w:p>
    <w:p w14:paraId="29A4C080" w14:textId="628A1806" w:rsidR="00CD3410" w:rsidRPr="005E5973" w:rsidRDefault="002079BB" w:rsidP="00CD3410">
      <w:pPr>
        <w:pStyle w:val="Listenabsatz"/>
        <w:numPr>
          <w:ilvl w:val="0"/>
          <w:numId w:val="11"/>
        </w:numPr>
        <w:ind w:left="283"/>
        <w:rPr>
          <w:rFonts w:ascii="Arial" w:hAnsi="Arial" w:cs="Arial"/>
          <w:sz w:val="28"/>
          <w:szCs w:val="28"/>
          <w:lang w:val="fr-CH"/>
        </w:rPr>
      </w:pPr>
      <w:r w:rsidRPr="005E5973">
        <w:rPr>
          <w:rFonts w:ascii="Arial" w:hAnsi="Arial" w:cs="Arial"/>
          <w:sz w:val="28"/>
          <w:szCs w:val="28"/>
          <w:lang w:val="fr-CH"/>
        </w:rPr>
        <w:t>Objet</w:t>
      </w:r>
    </w:p>
    <w:p w14:paraId="3079A80C" w14:textId="77777777" w:rsidR="00CD3410" w:rsidRPr="005E5973" w:rsidRDefault="00CD3410" w:rsidP="00CD3410">
      <w:pPr>
        <w:pStyle w:val="Listenabsatz"/>
        <w:ind w:left="283"/>
        <w:rPr>
          <w:rFonts w:ascii="Arial" w:hAnsi="Arial" w:cs="Arial"/>
          <w:sz w:val="28"/>
          <w:szCs w:val="28"/>
          <w:lang w:val="fr-CH"/>
        </w:rPr>
      </w:pPr>
    </w:p>
    <w:p w14:paraId="46309B04" w14:textId="010047BB" w:rsidR="00CD3410" w:rsidRPr="005E5973" w:rsidRDefault="002079BB" w:rsidP="00CD3410">
      <w:pPr>
        <w:pStyle w:val="Listenabsatz"/>
        <w:numPr>
          <w:ilvl w:val="0"/>
          <w:numId w:val="11"/>
        </w:numPr>
        <w:ind w:left="283"/>
        <w:rPr>
          <w:rFonts w:ascii="Arial" w:hAnsi="Arial" w:cs="Arial"/>
          <w:sz w:val="28"/>
          <w:szCs w:val="28"/>
          <w:lang w:val="fr-CH"/>
        </w:rPr>
      </w:pPr>
      <w:r w:rsidRPr="005E5973">
        <w:rPr>
          <w:rFonts w:ascii="Arial" w:hAnsi="Arial" w:cs="Arial"/>
          <w:sz w:val="28"/>
          <w:szCs w:val="28"/>
          <w:lang w:val="fr-CH"/>
        </w:rPr>
        <w:t>Principes</w:t>
      </w:r>
    </w:p>
    <w:p w14:paraId="51B7CD4E" w14:textId="77777777" w:rsidR="00CD3410" w:rsidRPr="005E5973" w:rsidRDefault="00CD3410" w:rsidP="00CD3410">
      <w:pPr>
        <w:pStyle w:val="Listenabsatz"/>
        <w:ind w:left="283"/>
        <w:rPr>
          <w:rFonts w:ascii="Arial" w:hAnsi="Arial" w:cs="Arial"/>
          <w:sz w:val="28"/>
          <w:szCs w:val="28"/>
          <w:lang w:val="fr-CH"/>
        </w:rPr>
      </w:pPr>
    </w:p>
    <w:p w14:paraId="134C15E9" w14:textId="28353462" w:rsidR="00CD3410" w:rsidRPr="005E5973" w:rsidRDefault="002079BB" w:rsidP="00CD3410">
      <w:pPr>
        <w:pStyle w:val="Listenabsatz"/>
        <w:numPr>
          <w:ilvl w:val="0"/>
          <w:numId w:val="11"/>
        </w:numPr>
        <w:ind w:left="283"/>
        <w:rPr>
          <w:rFonts w:ascii="Arial" w:hAnsi="Arial" w:cs="Arial"/>
          <w:sz w:val="28"/>
          <w:szCs w:val="28"/>
          <w:lang w:val="fr-CH"/>
        </w:rPr>
      </w:pPr>
      <w:r w:rsidRPr="005E5973">
        <w:rPr>
          <w:rFonts w:ascii="Arial" w:hAnsi="Arial" w:cs="Arial"/>
          <w:sz w:val="28"/>
          <w:szCs w:val="28"/>
          <w:lang w:val="fr-CH"/>
        </w:rPr>
        <w:t>Directives de placement</w:t>
      </w:r>
    </w:p>
    <w:p w14:paraId="68F146B0" w14:textId="77777777" w:rsidR="00CD3410" w:rsidRPr="005E5973" w:rsidRDefault="00CD3410" w:rsidP="00CD3410">
      <w:pPr>
        <w:pStyle w:val="Listenabsatz"/>
        <w:ind w:left="283"/>
        <w:rPr>
          <w:rFonts w:ascii="Arial" w:hAnsi="Arial" w:cs="Arial"/>
          <w:sz w:val="28"/>
          <w:szCs w:val="28"/>
          <w:lang w:val="fr-CH"/>
        </w:rPr>
      </w:pPr>
    </w:p>
    <w:p w14:paraId="0B31ACE0" w14:textId="3C6BBB7D" w:rsidR="00CD3410" w:rsidRPr="005E5973" w:rsidRDefault="002079BB" w:rsidP="00CD3410">
      <w:pPr>
        <w:pStyle w:val="Listenabsatz"/>
        <w:numPr>
          <w:ilvl w:val="0"/>
          <w:numId w:val="11"/>
        </w:numPr>
        <w:ind w:left="283"/>
        <w:rPr>
          <w:rFonts w:ascii="Arial" w:hAnsi="Arial" w:cs="Arial"/>
          <w:sz w:val="28"/>
          <w:szCs w:val="28"/>
          <w:lang w:val="fr-CH"/>
        </w:rPr>
      </w:pPr>
      <w:r w:rsidRPr="005E5973">
        <w:rPr>
          <w:rFonts w:ascii="Arial" w:hAnsi="Arial" w:cs="Arial"/>
          <w:sz w:val="28"/>
          <w:szCs w:val="28"/>
          <w:lang w:val="fr-CH"/>
        </w:rPr>
        <w:t>Tâches et compétences</w:t>
      </w:r>
    </w:p>
    <w:p w14:paraId="0BC1C62D" w14:textId="77777777" w:rsidR="00CD3410" w:rsidRPr="005E5973" w:rsidRDefault="00CD3410" w:rsidP="00CD3410">
      <w:pPr>
        <w:ind w:left="283"/>
        <w:rPr>
          <w:rFonts w:ascii="Arial" w:hAnsi="Arial" w:cs="Arial"/>
          <w:sz w:val="28"/>
          <w:szCs w:val="28"/>
          <w:lang w:val="fr-CH"/>
        </w:rPr>
      </w:pPr>
    </w:p>
    <w:p w14:paraId="23DC53B0" w14:textId="1712C99A" w:rsidR="00CD3410" w:rsidRPr="005E5973" w:rsidRDefault="002079BB" w:rsidP="00CD3410">
      <w:pPr>
        <w:pStyle w:val="Listenabsatz"/>
        <w:numPr>
          <w:ilvl w:val="0"/>
          <w:numId w:val="11"/>
        </w:numPr>
        <w:ind w:left="283"/>
        <w:rPr>
          <w:rFonts w:ascii="Arial" w:hAnsi="Arial" w:cs="Arial"/>
          <w:sz w:val="28"/>
          <w:szCs w:val="28"/>
          <w:lang w:val="fr-CH"/>
        </w:rPr>
      </w:pPr>
      <w:r w:rsidRPr="005E5973">
        <w:rPr>
          <w:rFonts w:ascii="Arial" w:hAnsi="Arial" w:cs="Arial"/>
          <w:sz w:val="28"/>
          <w:szCs w:val="28"/>
          <w:lang w:val="fr-CH"/>
        </w:rPr>
        <w:t>Dispositions finales</w:t>
      </w:r>
    </w:p>
    <w:p w14:paraId="56834846" w14:textId="77777777" w:rsidR="00CD3410" w:rsidRPr="005E5973" w:rsidRDefault="00CD3410" w:rsidP="00CD3410">
      <w:pPr>
        <w:ind w:left="283"/>
        <w:rPr>
          <w:rFonts w:ascii="Arial" w:hAnsi="Arial" w:cs="Arial"/>
          <w:sz w:val="20"/>
          <w:szCs w:val="20"/>
          <w:lang w:val="fr-CH"/>
        </w:rPr>
      </w:pPr>
    </w:p>
    <w:p w14:paraId="05788E42" w14:textId="77777777" w:rsidR="00CD3410" w:rsidRPr="005E5973" w:rsidRDefault="00CD3410" w:rsidP="00CD3410">
      <w:pPr>
        <w:ind w:left="283"/>
        <w:rPr>
          <w:rFonts w:ascii="Arial" w:hAnsi="Arial" w:cs="Arial"/>
          <w:sz w:val="20"/>
          <w:szCs w:val="20"/>
          <w:lang w:val="fr-CH"/>
        </w:rPr>
      </w:pPr>
    </w:p>
    <w:p w14:paraId="7CF631DF" w14:textId="77777777" w:rsidR="00CD3410" w:rsidRPr="005E5973" w:rsidRDefault="00CD3410" w:rsidP="00CD3410">
      <w:pPr>
        <w:ind w:left="283"/>
        <w:rPr>
          <w:rFonts w:ascii="Arial" w:hAnsi="Arial" w:cs="Arial"/>
          <w:sz w:val="20"/>
          <w:szCs w:val="20"/>
          <w:lang w:val="fr-CH"/>
        </w:rPr>
      </w:pPr>
    </w:p>
    <w:p w14:paraId="0BE42530" w14:textId="77777777" w:rsidR="00CD3410" w:rsidRPr="005E5973" w:rsidRDefault="00CD3410" w:rsidP="00CD3410">
      <w:pPr>
        <w:ind w:left="283"/>
        <w:rPr>
          <w:rFonts w:ascii="Arial" w:hAnsi="Arial" w:cs="Arial"/>
          <w:sz w:val="20"/>
          <w:szCs w:val="20"/>
          <w:lang w:val="fr-CH"/>
        </w:rPr>
      </w:pPr>
    </w:p>
    <w:p w14:paraId="4A734893" w14:textId="77777777" w:rsidR="00CD3410" w:rsidRPr="005E5973" w:rsidRDefault="00CD3410" w:rsidP="00CD3410">
      <w:pPr>
        <w:ind w:left="283"/>
        <w:rPr>
          <w:rFonts w:ascii="Arial" w:hAnsi="Arial" w:cs="Arial"/>
          <w:sz w:val="20"/>
          <w:szCs w:val="20"/>
          <w:lang w:val="fr-CH"/>
        </w:rPr>
      </w:pPr>
    </w:p>
    <w:p w14:paraId="43B41AB3" w14:textId="77777777" w:rsidR="00CD3410" w:rsidRPr="005E5973" w:rsidRDefault="00CD3410" w:rsidP="00CD3410">
      <w:pPr>
        <w:ind w:left="283"/>
        <w:rPr>
          <w:rFonts w:ascii="Arial" w:hAnsi="Arial" w:cs="Arial"/>
          <w:sz w:val="20"/>
          <w:szCs w:val="20"/>
          <w:lang w:val="fr-CH"/>
        </w:rPr>
      </w:pPr>
    </w:p>
    <w:p w14:paraId="6F71230F" w14:textId="77777777" w:rsidR="00CD3410" w:rsidRPr="005E5973" w:rsidRDefault="00CD3410" w:rsidP="00CD3410">
      <w:pPr>
        <w:rPr>
          <w:rFonts w:ascii="Arial" w:hAnsi="Arial" w:cs="Arial"/>
          <w:sz w:val="20"/>
          <w:szCs w:val="20"/>
          <w:lang w:val="fr-CH"/>
        </w:rPr>
      </w:pPr>
    </w:p>
    <w:p w14:paraId="625AF514" w14:textId="77777777" w:rsidR="00CD3410" w:rsidRPr="005E5973" w:rsidRDefault="00CD3410" w:rsidP="00CD3410">
      <w:pPr>
        <w:rPr>
          <w:rFonts w:ascii="Arial" w:hAnsi="Arial" w:cs="Arial"/>
          <w:sz w:val="20"/>
          <w:szCs w:val="20"/>
          <w:lang w:val="fr-CH"/>
        </w:rPr>
      </w:pPr>
    </w:p>
    <w:p w14:paraId="5678D934" w14:textId="77777777" w:rsidR="00CD3410" w:rsidRPr="005E5973" w:rsidRDefault="00CD3410" w:rsidP="00CD3410">
      <w:pPr>
        <w:rPr>
          <w:rFonts w:ascii="Arial" w:hAnsi="Arial" w:cs="Arial"/>
          <w:sz w:val="20"/>
          <w:szCs w:val="20"/>
          <w:lang w:val="fr-CH"/>
        </w:rPr>
      </w:pPr>
    </w:p>
    <w:p w14:paraId="75319108" w14:textId="7385C50A" w:rsidR="00CD3410" w:rsidRPr="005E5973" w:rsidRDefault="002079BB" w:rsidP="00567EB3">
      <w:pPr>
        <w:outlineLvl w:val="0"/>
        <w:rPr>
          <w:rFonts w:ascii="Arial" w:hAnsi="Arial" w:cs="Arial"/>
          <w:b/>
          <w:sz w:val="32"/>
          <w:szCs w:val="32"/>
          <w:lang w:val="fr-CH"/>
        </w:rPr>
      </w:pPr>
      <w:r w:rsidRPr="005E5973">
        <w:rPr>
          <w:rFonts w:ascii="Arial" w:hAnsi="Arial" w:cs="Arial"/>
          <w:b/>
          <w:sz w:val="32"/>
          <w:szCs w:val="32"/>
          <w:lang w:val="fr-CH"/>
        </w:rPr>
        <w:t>ANNEXE</w:t>
      </w:r>
    </w:p>
    <w:p w14:paraId="0995C464" w14:textId="77777777" w:rsidR="00CD3410" w:rsidRPr="005E5973" w:rsidRDefault="00CD3410" w:rsidP="00CD3410">
      <w:pPr>
        <w:rPr>
          <w:rFonts w:ascii="Arial" w:hAnsi="Arial" w:cs="Arial"/>
          <w:sz w:val="20"/>
          <w:szCs w:val="20"/>
          <w:lang w:val="fr-CH"/>
        </w:rPr>
      </w:pPr>
    </w:p>
    <w:p w14:paraId="519BD3C5" w14:textId="77777777" w:rsidR="00CD3410" w:rsidRPr="005E5973" w:rsidRDefault="00CD3410" w:rsidP="00CD3410">
      <w:pPr>
        <w:rPr>
          <w:rFonts w:ascii="Arial" w:hAnsi="Arial" w:cs="Arial"/>
          <w:sz w:val="20"/>
          <w:szCs w:val="20"/>
          <w:lang w:val="fr-CH"/>
        </w:rPr>
      </w:pPr>
    </w:p>
    <w:p w14:paraId="6218032F" w14:textId="77777777" w:rsidR="00CD3410" w:rsidRPr="005E5973" w:rsidRDefault="00CD3410" w:rsidP="00CD3410">
      <w:pPr>
        <w:rPr>
          <w:rFonts w:ascii="Arial" w:hAnsi="Arial" w:cs="Arial"/>
          <w:lang w:val="fr-CH"/>
        </w:rPr>
      </w:pPr>
    </w:p>
    <w:p w14:paraId="4E3EFB03" w14:textId="42F156CB" w:rsidR="00CD3410" w:rsidRPr="005E5973" w:rsidRDefault="002079BB" w:rsidP="00567EB3">
      <w:pPr>
        <w:outlineLvl w:val="0"/>
        <w:rPr>
          <w:rFonts w:ascii="Arial" w:hAnsi="Arial" w:cs="Arial"/>
          <w:sz w:val="28"/>
          <w:szCs w:val="28"/>
          <w:lang w:val="fr-CH"/>
        </w:rPr>
      </w:pPr>
      <w:r w:rsidRPr="005E5973">
        <w:rPr>
          <w:rFonts w:ascii="Arial" w:hAnsi="Arial" w:cs="Arial"/>
          <w:b/>
          <w:sz w:val="28"/>
          <w:szCs w:val="28"/>
          <w:lang w:val="fr-CH"/>
        </w:rPr>
        <w:t xml:space="preserve">Annexe 1 | </w:t>
      </w:r>
      <w:r w:rsidRPr="005E5973">
        <w:rPr>
          <w:rFonts w:ascii="Arial" w:hAnsi="Arial" w:cs="Arial"/>
          <w:bCs/>
          <w:sz w:val="28"/>
          <w:szCs w:val="28"/>
          <w:lang w:val="fr-CH"/>
        </w:rPr>
        <w:t>Structure stratégique des actifs et fourchettes</w:t>
      </w:r>
    </w:p>
    <w:p w14:paraId="6130933B" w14:textId="77777777" w:rsidR="00CD3410" w:rsidRPr="005E5973" w:rsidRDefault="00CD3410" w:rsidP="00CD3410">
      <w:pPr>
        <w:rPr>
          <w:rFonts w:ascii="Arial" w:hAnsi="Arial" w:cs="Arial"/>
          <w:sz w:val="28"/>
          <w:szCs w:val="28"/>
          <w:lang w:val="fr-CH"/>
        </w:rPr>
      </w:pPr>
    </w:p>
    <w:p w14:paraId="1F8D22EA" w14:textId="046D6994" w:rsidR="00CD3410" w:rsidRPr="005E5973" w:rsidRDefault="002079BB" w:rsidP="00567EB3">
      <w:pPr>
        <w:outlineLvl w:val="0"/>
        <w:rPr>
          <w:rFonts w:ascii="Arial" w:hAnsi="Arial" w:cs="Arial"/>
          <w:sz w:val="28"/>
          <w:szCs w:val="28"/>
          <w:lang w:val="fr-CH"/>
        </w:rPr>
      </w:pPr>
      <w:r w:rsidRPr="005E5973">
        <w:rPr>
          <w:rFonts w:ascii="Arial" w:hAnsi="Arial" w:cs="Arial"/>
          <w:b/>
          <w:sz w:val="28"/>
          <w:szCs w:val="28"/>
          <w:lang w:val="fr-CH"/>
        </w:rPr>
        <w:t xml:space="preserve">Annexe 2 | </w:t>
      </w:r>
      <w:r w:rsidRPr="005E5973">
        <w:rPr>
          <w:rFonts w:ascii="Arial" w:hAnsi="Arial" w:cs="Arial"/>
          <w:bCs/>
          <w:sz w:val="28"/>
          <w:szCs w:val="28"/>
          <w:lang w:val="fr-CH"/>
        </w:rPr>
        <w:t>Critères positifs</w:t>
      </w:r>
    </w:p>
    <w:p w14:paraId="048134BE" w14:textId="77777777" w:rsidR="00CD3410" w:rsidRPr="005E5973" w:rsidRDefault="00CD3410" w:rsidP="00CD3410">
      <w:pPr>
        <w:rPr>
          <w:rFonts w:ascii="Arial" w:hAnsi="Arial" w:cs="Arial"/>
          <w:sz w:val="28"/>
          <w:szCs w:val="28"/>
          <w:lang w:val="fr-CH"/>
        </w:rPr>
      </w:pPr>
    </w:p>
    <w:p w14:paraId="6BD1064E" w14:textId="0DA35A1F" w:rsidR="00CD3410" w:rsidRPr="005E5973" w:rsidRDefault="002079BB" w:rsidP="00567EB3">
      <w:pPr>
        <w:outlineLvl w:val="0"/>
        <w:rPr>
          <w:rFonts w:ascii="Arial" w:hAnsi="Arial" w:cs="Arial"/>
          <w:sz w:val="28"/>
          <w:szCs w:val="28"/>
          <w:lang w:val="fr-CH"/>
        </w:rPr>
      </w:pPr>
      <w:r w:rsidRPr="005E5973">
        <w:rPr>
          <w:rFonts w:ascii="Arial" w:hAnsi="Arial" w:cs="Arial"/>
          <w:b/>
          <w:sz w:val="28"/>
          <w:szCs w:val="28"/>
          <w:lang w:val="fr-CH"/>
        </w:rPr>
        <w:t xml:space="preserve">Annexe 3 | </w:t>
      </w:r>
      <w:r w:rsidRPr="005E5973">
        <w:rPr>
          <w:rFonts w:ascii="Arial" w:hAnsi="Arial" w:cs="Arial"/>
          <w:bCs/>
          <w:sz w:val="28"/>
          <w:szCs w:val="28"/>
          <w:lang w:val="fr-CH"/>
        </w:rPr>
        <w:t>Critères d’exclusion</w:t>
      </w:r>
    </w:p>
    <w:p w14:paraId="4CEBE1C2" w14:textId="77777777" w:rsidR="00CD3410" w:rsidRPr="005E5973" w:rsidRDefault="00CD3410" w:rsidP="00CD3410">
      <w:pPr>
        <w:rPr>
          <w:rFonts w:ascii="Arial" w:hAnsi="Arial" w:cs="Arial"/>
          <w:sz w:val="28"/>
          <w:szCs w:val="28"/>
          <w:lang w:val="fr-CH"/>
        </w:rPr>
      </w:pPr>
    </w:p>
    <w:p w14:paraId="083E365B" w14:textId="0C5D0A0B" w:rsidR="00B23CCA" w:rsidRPr="005E5973" w:rsidRDefault="002079BB" w:rsidP="00567EB3">
      <w:pPr>
        <w:outlineLvl w:val="0"/>
        <w:rPr>
          <w:rFonts w:ascii="Arial" w:hAnsi="Arial" w:cs="Arial"/>
          <w:sz w:val="28"/>
          <w:szCs w:val="28"/>
          <w:lang w:val="fr-CH"/>
        </w:rPr>
      </w:pPr>
      <w:r w:rsidRPr="005E5973">
        <w:rPr>
          <w:rFonts w:ascii="Arial" w:hAnsi="Arial" w:cs="Arial"/>
          <w:b/>
          <w:sz w:val="28"/>
          <w:szCs w:val="28"/>
          <w:lang w:val="fr-CH"/>
        </w:rPr>
        <w:t xml:space="preserve">Annexe 4 | </w:t>
      </w:r>
      <w:r w:rsidRPr="005E5973">
        <w:rPr>
          <w:rFonts w:ascii="Arial" w:hAnsi="Arial" w:cs="Arial"/>
          <w:bCs/>
          <w:sz w:val="28"/>
          <w:szCs w:val="28"/>
          <w:lang w:val="fr-CH"/>
        </w:rPr>
        <w:t>Réserves de fluctuation de valeur</w:t>
      </w:r>
    </w:p>
    <w:p w14:paraId="4714C019" w14:textId="77777777" w:rsidR="00606D85" w:rsidRPr="005E5973" w:rsidRDefault="00606D85">
      <w:pPr>
        <w:rPr>
          <w:rFonts w:ascii="Arial" w:hAnsi="Arial" w:cs="Arial"/>
          <w:sz w:val="28"/>
          <w:szCs w:val="28"/>
          <w:lang w:val="fr-CH"/>
        </w:rPr>
      </w:pPr>
    </w:p>
    <w:p w14:paraId="021A6151" w14:textId="77777777" w:rsidR="00606D85" w:rsidRPr="005E5973" w:rsidRDefault="00606D85">
      <w:pPr>
        <w:rPr>
          <w:rFonts w:ascii="Arial" w:hAnsi="Arial" w:cs="Arial"/>
          <w:sz w:val="28"/>
          <w:szCs w:val="28"/>
          <w:lang w:val="fr-CH"/>
        </w:rPr>
      </w:pPr>
    </w:p>
    <w:p w14:paraId="2CCD0BE6" w14:textId="4D04D444" w:rsidR="00606D85" w:rsidRPr="005E5973" w:rsidRDefault="005D1FD7">
      <w:pPr>
        <w:rPr>
          <w:rFonts w:ascii="Arial" w:hAnsi="Arial" w:cs="Arial"/>
          <w:sz w:val="28"/>
          <w:szCs w:val="28"/>
          <w:lang w:val="fr-CH"/>
        </w:rPr>
      </w:pPr>
      <w:r w:rsidRPr="005E5973">
        <w:rPr>
          <w:rFonts w:ascii="Arial" w:hAnsi="Arial" w:cs="Arial"/>
          <w:sz w:val="28"/>
          <w:szCs w:val="28"/>
          <w:lang w:val="fr-CH"/>
        </w:rPr>
        <w:br w:type="page"/>
      </w:r>
    </w:p>
    <w:tbl>
      <w:tblPr>
        <w:tblW w:w="10127" w:type="dxa"/>
        <w:tblInd w:w="-522" w:type="dxa"/>
        <w:tblLook w:val="01E0" w:firstRow="1" w:lastRow="1" w:firstColumn="1" w:lastColumn="1" w:noHBand="0" w:noVBand="0"/>
      </w:tblPr>
      <w:tblGrid>
        <w:gridCol w:w="2548"/>
        <w:gridCol w:w="7579"/>
      </w:tblGrid>
      <w:tr w:rsidR="00E97F9B" w:rsidRPr="0042566D" w14:paraId="5BE3A41F" w14:textId="77777777" w:rsidTr="00123BE6">
        <w:trPr>
          <w:trHeight w:val="1631"/>
        </w:trPr>
        <w:tc>
          <w:tcPr>
            <w:tcW w:w="2548" w:type="dxa"/>
            <w:shd w:val="clear" w:color="auto" w:fill="auto"/>
          </w:tcPr>
          <w:p w14:paraId="68C76321" w14:textId="19060BAC" w:rsidR="006C7B17" w:rsidRPr="005E5973" w:rsidRDefault="002079BB" w:rsidP="00753959">
            <w:pPr>
              <w:jc w:val="right"/>
              <w:rPr>
                <w:rFonts w:ascii="Arial" w:hAnsi="Arial" w:cs="Arial"/>
                <w:i/>
                <w:iCs/>
                <w:color w:val="00798C"/>
                <w:sz w:val="20"/>
                <w:szCs w:val="20"/>
                <w:lang w:val="fr-CH"/>
              </w:rPr>
            </w:pPr>
            <w:r w:rsidRPr="005E5973">
              <w:rPr>
                <w:rFonts w:ascii="Arial" w:hAnsi="Arial" w:cs="Arial"/>
                <w:i/>
                <w:iCs/>
                <w:color w:val="00798C"/>
                <w:sz w:val="20"/>
                <w:szCs w:val="20"/>
                <w:lang w:val="fr-CH"/>
              </w:rPr>
              <w:lastRenderedPageBreak/>
              <w:t>Commentaire</w:t>
            </w:r>
          </w:p>
          <w:p w14:paraId="4432D33D" w14:textId="77777777" w:rsidR="003F2D0F" w:rsidRPr="005E5973" w:rsidRDefault="003F2D0F" w:rsidP="00D97B11">
            <w:pPr>
              <w:rPr>
                <w:rFonts w:ascii="Arial" w:hAnsi="Arial" w:cs="Arial"/>
                <w:i/>
                <w:iCs/>
                <w:color w:val="00798C"/>
                <w:sz w:val="20"/>
                <w:szCs w:val="20"/>
                <w:lang w:val="fr-CH"/>
              </w:rPr>
            </w:pPr>
          </w:p>
          <w:p w14:paraId="6CDE945D" w14:textId="77777777" w:rsidR="003F2D0F" w:rsidRPr="005E5973" w:rsidRDefault="003F2D0F" w:rsidP="00D97B11">
            <w:pPr>
              <w:rPr>
                <w:rFonts w:ascii="Arial" w:hAnsi="Arial" w:cs="Arial"/>
                <w:i/>
                <w:iCs/>
                <w:color w:val="00798C"/>
                <w:sz w:val="20"/>
                <w:szCs w:val="20"/>
                <w:lang w:val="fr-CH"/>
              </w:rPr>
            </w:pPr>
          </w:p>
          <w:p w14:paraId="31EE9F62" w14:textId="77777777" w:rsidR="0049748E" w:rsidRPr="005E5973" w:rsidRDefault="0049748E" w:rsidP="003F2D0F">
            <w:pPr>
              <w:rPr>
                <w:rFonts w:ascii="Arial" w:hAnsi="Arial" w:cs="Arial"/>
                <w:i/>
                <w:iCs/>
                <w:color w:val="00798C"/>
                <w:sz w:val="20"/>
                <w:szCs w:val="20"/>
                <w:lang w:val="fr-CH"/>
              </w:rPr>
            </w:pPr>
          </w:p>
          <w:p w14:paraId="2A654626" w14:textId="77777777" w:rsidR="0049748E" w:rsidRPr="005E5973" w:rsidRDefault="0049748E" w:rsidP="003F2D0F">
            <w:pPr>
              <w:rPr>
                <w:rFonts w:ascii="Arial" w:hAnsi="Arial" w:cs="Arial"/>
                <w:i/>
                <w:iCs/>
                <w:color w:val="00798C"/>
                <w:sz w:val="20"/>
                <w:szCs w:val="20"/>
                <w:lang w:val="fr-CH"/>
              </w:rPr>
            </w:pPr>
          </w:p>
          <w:p w14:paraId="0A40E797" w14:textId="612377C6" w:rsidR="0049748E" w:rsidRPr="005E5973" w:rsidRDefault="002079BB" w:rsidP="00045FB0">
            <w:pPr>
              <w:jc w:val="right"/>
              <w:rPr>
                <w:rFonts w:ascii="Arial" w:hAnsi="Arial" w:cs="Arial"/>
                <w:i/>
                <w:iCs/>
                <w:color w:val="00798C"/>
                <w:sz w:val="20"/>
                <w:szCs w:val="20"/>
                <w:lang w:val="fr-CH"/>
              </w:rPr>
            </w:pPr>
            <w:r w:rsidRPr="005E5973">
              <w:rPr>
                <w:rFonts w:ascii="Arial" w:hAnsi="Arial" w:cs="Arial"/>
                <w:i/>
                <w:iCs/>
                <w:color w:val="00798C"/>
                <w:sz w:val="20"/>
                <w:szCs w:val="20"/>
                <w:lang w:val="fr-CH"/>
              </w:rPr>
              <w:t>Définissez ce qu’englobe le règlement.</w:t>
            </w:r>
            <w:r w:rsidR="0049748E" w:rsidRPr="005E5973">
              <w:rPr>
                <w:rFonts w:ascii="Arial" w:hAnsi="Arial" w:cs="Arial"/>
                <w:i/>
                <w:iCs/>
                <w:color w:val="00798C"/>
                <w:sz w:val="20"/>
                <w:szCs w:val="20"/>
                <w:lang w:val="fr-CH"/>
              </w:rPr>
              <w:t xml:space="preserve"> </w:t>
            </w:r>
          </w:p>
          <w:p w14:paraId="77013FC7" w14:textId="77777777" w:rsidR="0049748E" w:rsidRPr="005E5973" w:rsidRDefault="0049748E" w:rsidP="00045FB0">
            <w:pPr>
              <w:jc w:val="right"/>
              <w:rPr>
                <w:rFonts w:ascii="Arial" w:hAnsi="Arial" w:cs="Arial"/>
                <w:i/>
                <w:iCs/>
                <w:color w:val="00798C"/>
                <w:sz w:val="20"/>
                <w:szCs w:val="20"/>
                <w:lang w:val="fr-CH"/>
              </w:rPr>
            </w:pPr>
          </w:p>
          <w:p w14:paraId="05F8B0C7" w14:textId="5D2BC570" w:rsidR="0049748E" w:rsidRPr="005E5973" w:rsidRDefault="002079BB" w:rsidP="00045FB0">
            <w:pPr>
              <w:jc w:val="right"/>
              <w:rPr>
                <w:rFonts w:ascii="Arial" w:hAnsi="Arial" w:cs="Arial"/>
                <w:i/>
                <w:iCs/>
                <w:color w:val="00798C"/>
                <w:sz w:val="20"/>
                <w:szCs w:val="20"/>
                <w:lang w:val="fr-CH"/>
              </w:rPr>
            </w:pPr>
            <w:r w:rsidRPr="005E5973">
              <w:rPr>
                <w:rFonts w:ascii="Arial" w:hAnsi="Arial" w:cs="Arial"/>
                <w:i/>
                <w:iCs/>
                <w:color w:val="00798C"/>
                <w:sz w:val="20"/>
                <w:szCs w:val="20"/>
                <w:lang w:val="fr-CH"/>
              </w:rPr>
              <w:t>Renvoyez le cas échéant à d’autres documents qui règlent par exemple déjà les tâches et compétences.</w:t>
            </w:r>
          </w:p>
          <w:p w14:paraId="7529E3EA" w14:textId="77777777" w:rsidR="00E10269" w:rsidRPr="005E5973" w:rsidRDefault="00E10269" w:rsidP="00045FB0">
            <w:pPr>
              <w:jc w:val="right"/>
              <w:rPr>
                <w:rFonts w:ascii="Arial" w:hAnsi="Arial" w:cs="Arial"/>
                <w:i/>
                <w:iCs/>
                <w:color w:val="00798C"/>
                <w:sz w:val="20"/>
                <w:szCs w:val="20"/>
                <w:lang w:val="fr-CH"/>
              </w:rPr>
            </w:pPr>
          </w:p>
          <w:p w14:paraId="631971A8" w14:textId="516C7757" w:rsidR="00E10269" w:rsidRPr="005E5973" w:rsidRDefault="002079BB" w:rsidP="00045FB0">
            <w:pPr>
              <w:jc w:val="right"/>
              <w:rPr>
                <w:rFonts w:ascii="Arial" w:hAnsi="Arial" w:cs="Arial"/>
                <w:i/>
                <w:iCs/>
                <w:sz w:val="20"/>
                <w:szCs w:val="20"/>
                <w:lang w:val="fr-CH"/>
              </w:rPr>
            </w:pPr>
            <w:r w:rsidRPr="005E5973">
              <w:rPr>
                <w:rFonts w:ascii="Arial" w:hAnsi="Arial" w:cs="Arial"/>
                <w:i/>
                <w:iCs/>
                <w:color w:val="00798C"/>
                <w:sz w:val="20"/>
                <w:szCs w:val="20"/>
                <w:lang w:val="fr-CH"/>
              </w:rPr>
              <w:t>Précisez si le règlement doit être soumis à l’autorité de surveillance des fondations pour autorisation.</w:t>
            </w:r>
          </w:p>
          <w:p w14:paraId="30A282F5" w14:textId="77777777" w:rsidR="0049748E" w:rsidRPr="005E5973" w:rsidRDefault="0049748E" w:rsidP="00045FB0">
            <w:pPr>
              <w:jc w:val="right"/>
              <w:rPr>
                <w:rFonts w:ascii="Arial" w:hAnsi="Arial" w:cs="Arial"/>
                <w:i/>
                <w:iCs/>
                <w:sz w:val="20"/>
                <w:szCs w:val="20"/>
                <w:lang w:val="fr-CH"/>
              </w:rPr>
            </w:pPr>
          </w:p>
          <w:p w14:paraId="7DB9424E" w14:textId="77777777" w:rsidR="0049748E" w:rsidRPr="005E5973" w:rsidRDefault="0049748E" w:rsidP="00E10269">
            <w:pPr>
              <w:jc w:val="right"/>
              <w:rPr>
                <w:rFonts w:ascii="Arial" w:hAnsi="Arial" w:cs="Arial"/>
                <w:i/>
                <w:iCs/>
                <w:sz w:val="20"/>
                <w:szCs w:val="20"/>
                <w:lang w:val="fr-CH"/>
              </w:rPr>
            </w:pPr>
          </w:p>
        </w:tc>
        <w:tc>
          <w:tcPr>
            <w:tcW w:w="7579" w:type="dxa"/>
            <w:shd w:val="clear" w:color="auto" w:fill="auto"/>
          </w:tcPr>
          <w:p w14:paraId="47319422" w14:textId="71D675AC" w:rsidR="003F2D0F" w:rsidRPr="005E5973" w:rsidRDefault="002079BB" w:rsidP="003F2D0F">
            <w:pPr>
              <w:rPr>
                <w:rFonts w:ascii="Arial" w:hAnsi="Arial" w:cs="Arial"/>
                <w:b/>
                <w:sz w:val="20"/>
                <w:lang w:val="fr-CH"/>
              </w:rPr>
            </w:pPr>
            <w:r w:rsidRPr="005E5973">
              <w:rPr>
                <w:rFonts w:ascii="Arial" w:hAnsi="Arial" w:cs="Arial"/>
                <w:b/>
                <w:sz w:val="20"/>
                <w:lang w:val="fr-CH"/>
              </w:rPr>
              <w:t>EXEMPLE</w:t>
            </w:r>
          </w:p>
          <w:p w14:paraId="540CC879" w14:textId="77777777" w:rsidR="003F2D0F" w:rsidRPr="005E5973" w:rsidRDefault="003F2D0F" w:rsidP="003F2D0F">
            <w:pPr>
              <w:rPr>
                <w:rFonts w:ascii="Arial" w:hAnsi="Arial" w:cs="Arial"/>
                <w:b/>
                <w:sz w:val="20"/>
                <w:lang w:val="fr-CH"/>
              </w:rPr>
            </w:pPr>
          </w:p>
          <w:p w14:paraId="0973A7EC" w14:textId="77777777" w:rsidR="003F2D0F" w:rsidRPr="005E5973" w:rsidRDefault="003F2D0F" w:rsidP="003F2D0F">
            <w:pPr>
              <w:rPr>
                <w:rFonts w:ascii="Arial" w:hAnsi="Arial" w:cs="Arial"/>
                <w:b/>
                <w:sz w:val="20"/>
                <w:lang w:val="fr-CH"/>
              </w:rPr>
            </w:pPr>
          </w:p>
          <w:p w14:paraId="34FDB3AB" w14:textId="5E2D855E" w:rsidR="003F2D0F" w:rsidRPr="005E5973" w:rsidRDefault="002079BB" w:rsidP="003F2D0F">
            <w:pPr>
              <w:numPr>
                <w:ilvl w:val="0"/>
                <w:numId w:val="1"/>
              </w:numPr>
              <w:rPr>
                <w:rFonts w:ascii="Arial" w:hAnsi="Arial" w:cs="Arial"/>
                <w:b/>
                <w:color w:val="000000" w:themeColor="text1"/>
                <w:sz w:val="20"/>
                <w:u w:val="single"/>
                <w:lang w:val="fr-CH"/>
              </w:rPr>
            </w:pPr>
            <w:r w:rsidRPr="005E5973">
              <w:rPr>
                <w:rFonts w:ascii="Arial" w:hAnsi="Arial" w:cs="Arial"/>
                <w:b/>
                <w:color w:val="000000" w:themeColor="text1"/>
                <w:sz w:val="20"/>
                <w:u w:val="single"/>
                <w:lang w:val="fr-CH"/>
              </w:rPr>
              <w:t>Principes</w:t>
            </w:r>
          </w:p>
          <w:p w14:paraId="03E28409" w14:textId="77777777" w:rsidR="006C7B17" w:rsidRPr="005E5973" w:rsidRDefault="006C7B17" w:rsidP="00267463">
            <w:pPr>
              <w:rPr>
                <w:rFonts w:ascii="Arial" w:hAnsi="Arial" w:cs="Arial"/>
                <w:sz w:val="20"/>
                <w:u w:val="single"/>
                <w:lang w:val="fr-CH"/>
              </w:rPr>
            </w:pPr>
          </w:p>
          <w:p w14:paraId="23F009BD" w14:textId="20D3FCC9" w:rsidR="006C7B17" w:rsidRPr="005E5973" w:rsidRDefault="002079BB" w:rsidP="00267463">
            <w:pPr>
              <w:rPr>
                <w:rFonts w:ascii="Arial" w:hAnsi="Arial" w:cs="Arial"/>
                <w:sz w:val="20"/>
                <w:lang w:val="fr-CH"/>
              </w:rPr>
            </w:pPr>
            <w:r w:rsidRPr="005E5973">
              <w:rPr>
                <w:rFonts w:ascii="Arial" w:hAnsi="Arial" w:cs="Arial"/>
                <w:sz w:val="20"/>
                <w:lang w:val="fr-CH"/>
              </w:rPr>
              <w:t>Le présent règlement définit les principes, directives, tâches et compétences à prendre en compte lors de la gestion des actifs financiers.</w:t>
            </w:r>
            <w:r w:rsidR="006C7B17" w:rsidRPr="005E5973">
              <w:rPr>
                <w:rFonts w:ascii="Arial" w:hAnsi="Arial" w:cs="Arial"/>
                <w:sz w:val="20"/>
                <w:lang w:val="fr-CH"/>
              </w:rPr>
              <w:br/>
            </w:r>
            <w:r w:rsidRPr="005E5973">
              <w:rPr>
                <w:rFonts w:ascii="Arial" w:hAnsi="Arial" w:cs="Arial"/>
                <w:sz w:val="20"/>
                <w:lang w:val="fr-CH"/>
              </w:rPr>
              <w:t>Les actifs financiers incluent les titres et liquidités qui ne sont pas directement requis pour l’activité opérationnelle.</w:t>
            </w:r>
            <w:r w:rsidR="00A867CD" w:rsidRPr="005E5973">
              <w:rPr>
                <w:rFonts w:ascii="Arial" w:hAnsi="Arial" w:cs="Arial"/>
                <w:sz w:val="20"/>
                <w:lang w:val="fr-CH"/>
              </w:rPr>
              <w:t xml:space="preserve"> </w:t>
            </w:r>
          </w:p>
          <w:p w14:paraId="4AB2618A" w14:textId="77777777" w:rsidR="00195ABF" w:rsidRPr="005E5973" w:rsidRDefault="00195ABF" w:rsidP="00267463">
            <w:pPr>
              <w:rPr>
                <w:rFonts w:ascii="Arial" w:hAnsi="Arial" w:cs="Arial"/>
                <w:sz w:val="20"/>
                <w:szCs w:val="20"/>
                <w:lang w:val="fr-CH"/>
              </w:rPr>
            </w:pPr>
          </w:p>
          <w:p w14:paraId="3854C8B8" w14:textId="77777777" w:rsidR="00E537FC" w:rsidRPr="005E5973" w:rsidRDefault="00E537FC" w:rsidP="00267463">
            <w:pPr>
              <w:rPr>
                <w:rFonts w:ascii="Arial" w:hAnsi="Arial" w:cs="Arial"/>
                <w:sz w:val="20"/>
                <w:szCs w:val="20"/>
                <w:lang w:val="fr-CH"/>
              </w:rPr>
            </w:pPr>
          </w:p>
          <w:p w14:paraId="27A50FAA" w14:textId="77777777" w:rsidR="00E537FC" w:rsidRPr="005E5973" w:rsidRDefault="00E537FC" w:rsidP="00267463">
            <w:pPr>
              <w:rPr>
                <w:rFonts w:ascii="Arial" w:hAnsi="Arial" w:cs="Arial"/>
                <w:sz w:val="20"/>
                <w:szCs w:val="20"/>
                <w:lang w:val="fr-CH"/>
              </w:rPr>
            </w:pPr>
          </w:p>
          <w:p w14:paraId="0256B7EA" w14:textId="77777777" w:rsidR="00E537FC" w:rsidRPr="005E5973" w:rsidRDefault="00E537FC" w:rsidP="00267463">
            <w:pPr>
              <w:rPr>
                <w:rFonts w:ascii="Arial" w:hAnsi="Arial" w:cs="Arial"/>
                <w:sz w:val="20"/>
                <w:szCs w:val="20"/>
                <w:lang w:val="fr-CH"/>
              </w:rPr>
            </w:pPr>
          </w:p>
          <w:p w14:paraId="53DA469A" w14:textId="77777777" w:rsidR="00E537FC" w:rsidRPr="005E5973" w:rsidRDefault="00E537FC" w:rsidP="00267463">
            <w:pPr>
              <w:rPr>
                <w:rFonts w:ascii="Arial" w:hAnsi="Arial" w:cs="Arial"/>
                <w:sz w:val="20"/>
                <w:szCs w:val="20"/>
                <w:lang w:val="fr-CH"/>
              </w:rPr>
            </w:pPr>
          </w:p>
          <w:p w14:paraId="77D35D6F" w14:textId="77777777" w:rsidR="00E537FC" w:rsidRPr="005E5973" w:rsidRDefault="00E537FC" w:rsidP="00267463">
            <w:pPr>
              <w:rPr>
                <w:rFonts w:ascii="Arial" w:hAnsi="Arial" w:cs="Arial"/>
                <w:sz w:val="20"/>
                <w:szCs w:val="20"/>
                <w:lang w:val="fr-CH"/>
              </w:rPr>
            </w:pPr>
          </w:p>
          <w:p w14:paraId="02B453DA" w14:textId="77777777" w:rsidR="00E537FC" w:rsidRPr="005E5973" w:rsidRDefault="00E537FC" w:rsidP="00267463">
            <w:pPr>
              <w:rPr>
                <w:rFonts w:ascii="Arial" w:hAnsi="Arial" w:cs="Arial"/>
                <w:sz w:val="20"/>
                <w:szCs w:val="20"/>
                <w:lang w:val="fr-CH"/>
              </w:rPr>
            </w:pPr>
          </w:p>
          <w:p w14:paraId="5B0194A8" w14:textId="77777777" w:rsidR="00E537FC" w:rsidRPr="005E5973" w:rsidRDefault="00E537FC" w:rsidP="00267463">
            <w:pPr>
              <w:rPr>
                <w:rFonts w:ascii="Arial" w:hAnsi="Arial" w:cs="Arial"/>
                <w:sz w:val="20"/>
                <w:szCs w:val="20"/>
                <w:lang w:val="fr-CH"/>
              </w:rPr>
            </w:pPr>
          </w:p>
          <w:p w14:paraId="66B0CF4B" w14:textId="77777777" w:rsidR="00E537FC" w:rsidRPr="005E5973" w:rsidRDefault="00E537FC" w:rsidP="00267463">
            <w:pPr>
              <w:rPr>
                <w:rFonts w:ascii="Arial" w:hAnsi="Arial" w:cs="Arial"/>
                <w:sz w:val="20"/>
                <w:szCs w:val="20"/>
                <w:lang w:val="fr-CH"/>
              </w:rPr>
            </w:pPr>
          </w:p>
          <w:p w14:paraId="280D4E0F" w14:textId="77777777" w:rsidR="00E537FC" w:rsidRPr="005E5973" w:rsidRDefault="00E537FC" w:rsidP="00267463">
            <w:pPr>
              <w:rPr>
                <w:rFonts w:ascii="Arial" w:hAnsi="Arial" w:cs="Arial"/>
                <w:sz w:val="20"/>
                <w:szCs w:val="20"/>
                <w:lang w:val="fr-CH"/>
              </w:rPr>
            </w:pPr>
          </w:p>
          <w:p w14:paraId="217858D0" w14:textId="77777777" w:rsidR="00E537FC" w:rsidRPr="005E5973" w:rsidRDefault="00E537FC" w:rsidP="00267463">
            <w:pPr>
              <w:rPr>
                <w:rFonts w:ascii="Arial" w:hAnsi="Arial" w:cs="Arial"/>
                <w:sz w:val="20"/>
                <w:szCs w:val="20"/>
                <w:lang w:val="fr-CH"/>
              </w:rPr>
            </w:pPr>
          </w:p>
          <w:p w14:paraId="20F3E25B" w14:textId="77777777" w:rsidR="00E537FC" w:rsidRPr="005E5973" w:rsidRDefault="00E537FC" w:rsidP="00267463">
            <w:pPr>
              <w:rPr>
                <w:rFonts w:ascii="Arial" w:hAnsi="Arial" w:cs="Arial"/>
                <w:sz w:val="20"/>
                <w:szCs w:val="20"/>
                <w:lang w:val="fr-CH"/>
              </w:rPr>
            </w:pPr>
          </w:p>
          <w:p w14:paraId="473F78C7" w14:textId="77777777" w:rsidR="00E537FC" w:rsidRPr="005E5973" w:rsidRDefault="00E537FC" w:rsidP="00267463">
            <w:pPr>
              <w:rPr>
                <w:rFonts w:ascii="Arial" w:hAnsi="Arial" w:cs="Arial"/>
                <w:sz w:val="20"/>
                <w:szCs w:val="20"/>
                <w:lang w:val="fr-CH"/>
              </w:rPr>
            </w:pPr>
          </w:p>
          <w:p w14:paraId="69093B37" w14:textId="77777777" w:rsidR="00E537FC" w:rsidRPr="005E5973" w:rsidRDefault="00E537FC" w:rsidP="00267463">
            <w:pPr>
              <w:rPr>
                <w:rFonts w:ascii="Arial" w:hAnsi="Arial" w:cs="Arial"/>
                <w:sz w:val="20"/>
                <w:szCs w:val="20"/>
                <w:lang w:val="fr-CH"/>
              </w:rPr>
            </w:pPr>
          </w:p>
          <w:p w14:paraId="22318D6A" w14:textId="77777777" w:rsidR="00E537FC" w:rsidRPr="005E5973" w:rsidRDefault="00E537FC" w:rsidP="00267463">
            <w:pPr>
              <w:rPr>
                <w:rFonts w:ascii="Arial" w:hAnsi="Arial" w:cs="Arial"/>
                <w:sz w:val="20"/>
                <w:szCs w:val="20"/>
                <w:lang w:val="fr-CH"/>
              </w:rPr>
            </w:pPr>
          </w:p>
          <w:p w14:paraId="620AEC94" w14:textId="77777777" w:rsidR="00E537FC" w:rsidRPr="005E5973" w:rsidRDefault="00E537FC" w:rsidP="00267463">
            <w:pPr>
              <w:rPr>
                <w:rFonts w:ascii="Arial" w:hAnsi="Arial" w:cs="Arial"/>
                <w:sz w:val="20"/>
                <w:szCs w:val="20"/>
                <w:lang w:val="fr-CH"/>
              </w:rPr>
            </w:pPr>
          </w:p>
          <w:p w14:paraId="5822D822" w14:textId="77777777" w:rsidR="00E537FC" w:rsidRPr="005E5973" w:rsidRDefault="00E537FC" w:rsidP="00267463">
            <w:pPr>
              <w:rPr>
                <w:rFonts w:ascii="Arial" w:hAnsi="Arial" w:cs="Arial"/>
                <w:sz w:val="20"/>
                <w:szCs w:val="20"/>
                <w:lang w:val="fr-CH"/>
              </w:rPr>
            </w:pPr>
          </w:p>
          <w:p w14:paraId="4BCA7F8B" w14:textId="77777777" w:rsidR="00E537FC" w:rsidRPr="005E5973" w:rsidRDefault="00E537FC" w:rsidP="00267463">
            <w:pPr>
              <w:rPr>
                <w:rFonts w:ascii="Arial" w:hAnsi="Arial" w:cs="Arial"/>
                <w:sz w:val="20"/>
                <w:szCs w:val="20"/>
                <w:lang w:val="fr-CH"/>
              </w:rPr>
            </w:pPr>
          </w:p>
          <w:p w14:paraId="328BE69E" w14:textId="77777777" w:rsidR="00E537FC" w:rsidRPr="005E5973" w:rsidRDefault="00E537FC" w:rsidP="00267463">
            <w:pPr>
              <w:rPr>
                <w:rFonts w:ascii="Arial" w:hAnsi="Arial" w:cs="Arial"/>
                <w:sz w:val="20"/>
                <w:szCs w:val="20"/>
                <w:lang w:val="fr-CH"/>
              </w:rPr>
            </w:pPr>
          </w:p>
          <w:p w14:paraId="3C1AFD30" w14:textId="77777777" w:rsidR="00E537FC" w:rsidRPr="005E5973" w:rsidRDefault="00E537FC" w:rsidP="00267463">
            <w:pPr>
              <w:rPr>
                <w:rFonts w:ascii="Arial" w:hAnsi="Arial" w:cs="Arial"/>
                <w:sz w:val="20"/>
                <w:szCs w:val="20"/>
                <w:lang w:val="fr-CH"/>
              </w:rPr>
            </w:pPr>
          </w:p>
          <w:p w14:paraId="726FE058" w14:textId="77777777" w:rsidR="00E537FC" w:rsidRPr="005E5973" w:rsidRDefault="00E537FC" w:rsidP="00267463">
            <w:pPr>
              <w:rPr>
                <w:rFonts w:ascii="Arial" w:hAnsi="Arial" w:cs="Arial"/>
                <w:sz w:val="20"/>
                <w:szCs w:val="20"/>
                <w:lang w:val="fr-CH"/>
              </w:rPr>
            </w:pPr>
          </w:p>
          <w:p w14:paraId="48FE7BDE" w14:textId="77777777" w:rsidR="00E537FC" w:rsidRPr="005E5973" w:rsidRDefault="00E537FC" w:rsidP="00267463">
            <w:pPr>
              <w:rPr>
                <w:rFonts w:ascii="Arial" w:hAnsi="Arial" w:cs="Arial"/>
                <w:sz w:val="20"/>
                <w:szCs w:val="20"/>
                <w:lang w:val="fr-CH"/>
              </w:rPr>
            </w:pPr>
          </w:p>
          <w:p w14:paraId="65E2BCB4" w14:textId="77777777" w:rsidR="00E537FC" w:rsidRPr="005E5973" w:rsidRDefault="00E537FC" w:rsidP="00267463">
            <w:pPr>
              <w:rPr>
                <w:rFonts w:ascii="Arial" w:hAnsi="Arial" w:cs="Arial"/>
                <w:sz w:val="20"/>
                <w:szCs w:val="20"/>
                <w:lang w:val="fr-CH"/>
              </w:rPr>
            </w:pPr>
          </w:p>
          <w:p w14:paraId="466E230D" w14:textId="77777777" w:rsidR="00E537FC" w:rsidRPr="005E5973" w:rsidRDefault="00E537FC" w:rsidP="00267463">
            <w:pPr>
              <w:rPr>
                <w:rFonts w:ascii="Arial" w:hAnsi="Arial" w:cs="Arial"/>
                <w:sz w:val="20"/>
                <w:szCs w:val="20"/>
                <w:lang w:val="fr-CH"/>
              </w:rPr>
            </w:pPr>
          </w:p>
          <w:p w14:paraId="0A438583" w14:textId="77777777" w:rsidR="00E537FC" w:rsidRPr="005E5973" w:rsidRDefault="00E537FC" w:rsidP="00267463">
            <w:pPr>
              <w:rPr>
                <w:rFonts w:ascii="Arial" w:hAnsi="Arial" w:cs="Arial"/>
                <w:sz w:val="20"/>
                <w:szCs w:val="20"/>
                <w:lang w:val="fr-CH"/>
              </w:rPr>
            </w:pPr>
          </w:p>
          <w:p w14:paraId="5B65B99F" w14:textId="77777777" w:rsidR="00E537FC" w:rsidRPr="005E5973" w:rsidRDefault="00E537FC" w:rsidP="00267463">
            <w:pPr>
              <w:rPr>
                <w:rFonts w:ascii="Arial" w:hAnsi="Arial" w:cs="Arial"/>
                <w:sz w:val="20"/>
                <w:szCs w:val="20"/>
                <w:lang w:val="fr-CH"/>
              </w:rPr>
            </w:pPr>
          </w:p>
          <w:p w14:paraId="688EEA17" w14:textId="77777777" w:rsidR="00E537FC" w:rsidRPr="005E5973" w:rsidRDefault="00E537FC" w:rsidP="00267463">
            <w:pPr>
              <w:rPr>
                <w:rFonts w:ascii="Arial" w:hAnsi="Arial" w:cs="Arial"/>
                <w:sz w:val="20"/>
                <w:szCs w:val="20"/>
                <w:lang w:val="fr-CH"/>
              </w:rPr>
            </w:pPr>
          </w:p>
          <w:p w14:paraId="4DB772AF" w14:textId="77777777" w:rsidR="00E537FC" w:rsidRPr="005E5973" w:rsidRDefault="00E537FC" w:rsidP="00267463">
            <w:pPr>
              <w:rPr>
                <w:rFonts w:ascii="Arial" w:hAnsi="Arial" w:cs="Arial"/>
                <w:sz w:val="20"/>
                <w:szCs w:val="20"/>
                <w:lang w:val="fr-CH"/>
              </w:rPr>
            </w:pPr>
          </w:p>
          <w:p w14:paraId="11B786DB" w14:textId="77777777" w:rsidR="00E537FC" w:rsidRPr="005E5973" w:rsidRDefault="00E537FC" w:rsidP="00267463">
            <w:pPr>
              <w:rPr>
                <w:rFonts w:ascii="Arial" w:hAnsi="Arial" w:cs="Arial"/>
                <w:sz w:val="20"/>
                <w:szCs w:val="20"/>
                <w:lang w:val="fr-CH"/>
              </w:rPr>
            </w:pPr>
          </w:p>
          <w:p w14:paraId="48BD4CE2" w14:textId="77777777" w:rsidR="00E537FC" w:rsidRPr="005E5973" w:rsidRDefault="00E537FC" w:rsidP="00267463">
            <w:pPr>
              <w:rPr>
                <w:rFonts w:ascii="Arial" w:hAnsi="Arial" w:cs="Arial"/>
                <w:sz w:val="20"/>
                <w:szCs w:val="20"/>
                <w:lang w:val="fr-CH"/>
              </w:rPr>
            </w:pPr>
          </w:p>
          <w:p w14:paraId="213B6553" w14:textId="77777777" w:rsidR="00E537FC" w:rsidRPr="005E5973" w:rsidRDefault="00E537FC" w:rsidP="00267463">
            <w:pPr>
              <w:rPr>
                <w:rFonts w:ascii="Arial" w:hAnsi="Arial" w:cs="Arial"/>
                <w:sz w:val="20"/>
                <w:szCs w:val="20"/>
                <w:lang w:val="fr-CH"/>
              </w:rPr>
            </w:pPr>
          </w:p>
          <w:p w14:paraId="7EAAF837" w14:textId="77777777" w:rsidR="00E537FC" w:rsidRPr="005E5973" w:rsidRDefault="00E537FC" w:rsidP="00267463">
            <w:pPr>
              <w:rPr>
                <w:rFonts w:ascii="Arial" w:hAnsi="Arial" w:cs="Arial"/>
                <w:sz w:val="20"/>
                <w:szCs w:val="20"/>
                <w:lang w:val="fr-CH"/>
              </w:rPr>
            </w:pPr>
          </w:p>
          <w:p w14:paraId="000158BC" w14:textId="77777777" w:rsidR="00E537FC" w:rsidRPr="005E5973" w:rsidRDefault="00E537FC" w:rsidP="00267463">
            <w:pPr>
              <w:rPr>
                <w:rFonts w:ascii="Arial" w:hAnsi="Arial" w:cs="Arial"/>
                <w:sz w:val="20"/>
                <w:szCs w:val="20"/>
                <w:lang w:val="fr-CH"/>
              </w:rPr>
            </w:pPr>
          </w:p>
          <w:p w14:paraId="4EB5D66C" w14:textId="77777777" w:rsidR="00E537FC" w:rsidRPr="005E5973" w:rsidRDefault="00E537FC" w:rsidP="00267463">
            <w:pPr>
              <w:rPr>
                <w:rFonts w:ascii="Arial" w:hAnsi="Arial" w:cs="Arial"/>
                <w:sz w:val="20"/>
                <w:szCs w:val="20"/>
                <w:lang w:val="fr-CH"/>
              </w:rPr>
            </w:pPr>
          </w:p>
          <w:p w14:paraId="30EFDAEF" w14:textId="77777777" w:rsidR="00E537FC" w:rsidRPr="005E5973" w:rsidRDefault="00E537FC" w:rsidP="00267463">
            <w:pPr>
              <w:rPr>
                <w:rFonts w:ascii="Arial" w:hAnsi="Arial" w:cs="Arial"/>
                <w:sz w:val="20"/>
                <w:szCs w:val="20"/>
                <w:lang w:val="fr-CH"/>
              </w:rPr>
            </w:pPr>
          </w:p>
          <w:p w14:paraId="7CAEC129" w14:textId="77777777" w:rsidR="00E537FC" w:rsidRPr="005E5973" w:rsidRDefault="00E537FC" w:rsidP="00267463">
            <w:pPr>
              <w:rPr>
                <w:rFonts w:ascii="Arial" w:hAnsi="Arial" w:cs="Arial"/>
                <w:sz w:val="20"/>
                <w:szCs w:val="20"/>
                <w:lang w:val="fr-CH"/>
              </w:rPr>
            </w:pPr>
          </w:p>
          <w:p w14:paraId="573546E4" w14:textId="77777777" w:rsidR="00E537FC" w:rsidRPr="005E5973" w:rsidRDefault="00E537FC" w:rsidP="00267463">
            <w:pPr>
              <w:rPr>
                <w:rFonts w:ascii="Arial" w:hAnsi="Arial" w:cs="Arial"/>
                <w:sz w:val="20"/>
                <w:szCs w:val="20"/>
                <w:lang w:val="fr-CH"/>
              </w:rPr>
            </w:pPr>
          </w:p>
          <w:p w14:paraId="31ED828E" w14:textId="77777777" w:rsidR="00E537FC" w:rsidRPr="005E5973" w:rsidRDefault="00E537FC" w:rsidP="00267463">
            <w:pPr>
              <w:rPr>
                <w:rFonts w:ascii="Arial" w:hAnsi="Arial" w:cs="Arial"/>
                <w:sz w:val="20"/>
                <w:szCs w:val="20"/>
                <w:lang w:val="fr-CH"/>
              </w:rPr>
            </w:pPr>
          </w:p>
          <w:p w14:paraId="7FB6405F" w14:textId="77777777" w:rsidR="00E537FC" w:rsidRPr="005E5973" w:rsidRDefault="00E537FC" w:rsidP="00267463">
            <w:pPr>
              <w:rPr>
                <w:rFonts w:ascii="Arial" w:hAnsi="Arial" w:cs="Arial"/>
                <w:sz w:val="20"/>
                <w:szCs w:val="20"/>
                <w:lang w:val="fr-CH"/>
              </w:rPr>
            </w:pPr>
          </w:p>
          <w:p w14:paraId="0DD084F6" w14:textId="77777777" w:rsidR="00E537FC" w:rsidRPr="005E5973" w:rsidRDefault="00E537FC" w:rsidP="00267463">
            <w:pPr>
              <w:rPr>
                <w:rFonts w:ascii="Arial" w:hAnsi="Arial" w:cs="Arial"/>
                <w:sz w:val="20"/>
                <w:szCs w:val="20"/>
                <w:lang w:val="fr-CH"/>
              </w:rPr>
            </w:pPr>
          </w:p>
          <w:p w14:paraId="13897C01" w14:textId="77777777" w:rsidR="00E537FC" w:rsidRPr="005E5973" w:rsidRDefault="00E537FC" w:rsidP="00267463">
            <w:pPr>
              <w:rPr>
                <w:rFonts w:ascii="Arial" w:hAnsi="Arial" w:cs="Arial"/>
                <w:sz w:val="20"/>
                <w:szCs w:val="20"/>
                <w:lang w:val="fr-CH"/>
              </w:rPr>
            </w:pPr>
          </w:p>
          <w:p w14:paraId="1C66F367" w14:textId="77777777" w:rsidR="00E537FC" w:rsidRPr="005E5973" w:rsidRDefault="00E537FC" w:rsidP="00267463">
            <w:pPr>
              <w:rPr>
                <w:rFonts w:ascii="Arial" w:hAnsi="Arial" w:cs="Arial"/>
                <w:sz w:val="20"/>
                <w:szCs w:val="20"/>
                <w:lang w:val="fr-CH"/>
              </w:rPr>
            </w:pPr>
          </w:p>
          <w:p w14:paraId="3494835F" w14:textId="77777777" w:rsidR="00E537FC" w:rsidRPr="005E5973" w:rsidRDefault="00E537FC" w:rsidP="00267463">
            <w:pPr>
              <w:rPr>
                <w:rFonts w:ascii="Arial" w:hAnsi="Arial" w:cs="Arial"/>
                <w:sz w:val="20"/>
                <w:szCs w:val="20"/>
                <w:lang w:val="fr-CH"/>
              </w:rPr>
            </w:pPr>
          </w:p>
          <w:p w14:paraId="40809BE5" w14:textId="77777777" w:rsidR="00E537FC" w:rsidRPr="005E5973" w:rsidRDefault="00E537FC" w:rsidP="00267463">
            <w:pPr>
              <w:rPr>
                <w:rFonts w:ascii="Arial" w:hAnsi="Arial" w:cs="Arial"/>
                <w:sz w:val="20"/>
                <w:szCs w:val="20"/>
                <w:lang w:val="fr-CH"/>
              </w:rPr>
            </w:pPr>
          </w:p>
          <w:p w14:paraId="20E96581" w14:textId="77777777" w:rsidR="00E537FC" w:rsidRPr="005E5973" w:rsidRDefault="00E537FC" w:rsidP="00267463">
            <w:pPr>
              <w:rPr>
                <w:rFonts w:ascii="Arial" w:hAnsi="Arial" w:cs="Arial"/>
                <w:sz w:val="20"/>
                <w:szCs w:val="20"/>
                <w:lang w:val="fr-CH"/>
              </w:rPr>
            </w:pPr>
          </w:p>
          <w:p w14:paraId="34E7BA04" w14:textId="77777777" w:rsidR="00E537FC" w:rsidRPr="005E5973" w:rsidRDefault="00E537FC" w:rsidP="00267463">
            <w:pPr>
              <w:rPr>
                <w:rFonts w:ascii="Arial" w:hAnsi="Arial" w:cs="Arial"/>
                <w:sz w:val="20"/>
                <w:szCs w:val="20"/>
                <w:lang w:val="fr-CH"/>
              </w:rPr>
            </w:pPr>
          </w:p>
          <w:p w14:paraId="38D7EF1D" w14:textId="77777777" w:rsidR="00E537FC" w:rsidRPr="005E5973" w:rsidRDefault="00E537FC" w:rsidP="00267463">
            <w:pPr>
              <w:rPr>
                <w:rFonts w:ascii="Arial" w:hAnsi="Arial" w:cs="Arial"/>
                <w:sz w:val="20"/>
                <w:szCs w:val="20"/>
                <w:lang w:val="fr-CH"/>
              </w:rPr>
            </w:pPr>
          </w:p>
          <w:p w14:paraId="4EFD0633" w14:textId="77777777" w:rsidR="00E537FC" w:rsidRPr="005E5973" w:rsidRDefault="00E537FC" w:rsidP="00267463">
            <w:pPr>
              <w:rPr>
                <w:rFonts w:ascii="Arial" w:hAnsi="Arial" w:cs="Arial"/>
                <w:sz w:val="20"/>
                <w:szCs w:val="20"/>
                <w:lang w:val="fr-CH"/>
              </w:rPr>
            </w:pPr>
          </w:p>
        </w:tc>
      </w:tr>
      <w:tr w:rsidR="00E97F9B" w:rsidRPr="0042566D" w14:paraId="588F661C" w14:textId="77777777" w:rsidTr="00123BE6">
        <w:trPr>
          <w:trHeight w:val="2581"/>
        </w:trPr>
        <w:tc>
          <w:tcPr>
            <w:tcW w:w="2548" w:type="dxa"/>
            <w:shd w:val="clear" w:color="auto" w:fill="auto"/>
          </w:tcPr>
          <w:p w14:paraId="471C320C" w14:textId="22D5FF39" w:rsidR="00E97F9B" w:rsidRPr="005E5973" w:rsidRDefault="002079BB" w:rsidP="00753959">
            <w:pPr>
              <w:jc w:val="right"/>
              <w:rPr>
                <w:rFonts w:ascii="Arial" w:hAnsi="Arial" w:cs="Arial"/>
                <w:i/>
                <w:iCs/>
                <w:color w:val="00798C"/>
                <w:sz w:val="20"/>
                <w:szCs w:val="20"/>
                <w:lang w:val="fr-CH"/>
              </w:rPr>
            </w:pPr>
            <w:r w:rsidRPr="005E5973">
              <w:rPr>
                <w:rFonts w:ascii="Arial" w:hAnsi="Arial" w:cs="Arial"/>
                <w:i/>
                <w:iCs/>
                <w:color w:val="00798C"/>
                <w:sz w:val="20"/>
                <w:szCs w:val="20"/>
                <w:lang w:val="fr-CH"/>
              </w:rPr>
              <w:lastRenderedPageBreak/>
              <w:t>Commentaire</w:t>
            </w:r>
          </w:p>
          <w:p w14:paraId="1FB8C8B5" w14:textId="77777777" w:rsidR="00023873" w:rsidRPr="005E5973" w:rsidRDefault="00023873" w:rsidP="00D97B11">
            <w:pPr>
              <w:rPr>
                <w:rFonts w:ascii="Arial" w:hAnsi="Arial" w:cs="Arial"/>
                <w:i/>
                <w:iCs/>
                <w:color w:val="00798C"/>
                <w:sz w:val="20"/>
                <w:szCs w:val="20"/>
                <w:lang w:val="fr-CH"/>
              </w:rPr>
            </w:pPr>
          </w:p>
          <w:p w14:paraId="0EF89323" w14:textId="77777777" w:rsidR="00E97F9B" w:rsidRPr="005E5973" w:rsidRDefault="00E97F9B" w:rsidP="00E97F9B">
            <w:pPr>
              <w:rPr>
                <w:rFonts w:ascii="Arial" w:hAnsi="Arial" w:cs="Arial"/>
                <w:i/>
                <w:iCs/>
                <w:color w:val="00798C"/>
                <w:sz w:val="21"/>
                <w:szCs w:val="21"/>
                <w:shd w:val="clear" w:color="auto" w:fill="FFFFFF"/>
                <w:lang w:val="fr-CH"/>
              </w:rPr>
            </w:pPr>
          </w:p>
          <w:p w14:paraId="71314ED9" w14:textId="77777777" w:rsidR="00E97F9B" w:rsidRPr="005E5973" w:rsidRDefault="00E97F9B" w:rsidP="00E97F9B">
            <w:pPr>
              <w:rPr>
                <w:rFonts w:ascii="Arial" w:hAnsi="Arial" w:cs="Arial"/>
                <w:i/>
                <w:iCs/>
                <w:color w:val="00798C"/>
                <w:sz w:val="21"/>
                <w:szCs w:val="21"/>
                <w:shd w:val="clear" w:color="auto" w:fill="FFFFFF"/>
                <w:lang w:val="fr-CH"/>
              </w:rPr>
            </w:pPr>
          </w:p>
          <w:p w14:paraId="0BAAD053" w14:textId="28779CDD" w:rsidR="00023873" w:rsidRPr="005E5973" w:rsidRDefault="002079BB" w:rsidP="00997FC2">
            <w:pPr>
              <w:jc w:val="right"/>
              <w:rPr>
                <w:rFonts w:ascii="Arial" w:hAnsi="Arial" w:cs="Arial"/>
                <w:i/>
                <w:iCs/>
                <w:color w:val="00798C"/>
                <w:sz w:val="20"/>
                <w:szCs w:val="20"/>
                <w:lang w:val="fr-CH"/>
              </w:rPr>
            </w:pPr>
            <w:r w:rsidRPr="005E5973">
              <w:rPr>
                <w:rFonts w:ascii="Arial" w:hAnsi="Arial" w:cs="Arial"/>
                <w:i/>
                <w:iCs/>
                <w:color w:val="00798C"/>
                <w:sz w:val="21"/>
                <w:szCs w:val="21"/>
                <w:shd w:val="clear" w:color="auto" w:fill="FFFFFF"/>
                <w:lang w:val="fr-CH"/>
              </w:rPr>
              <w:t>Consignez les principes essentiels selon lesquels vos placements doivent être gérés.</w:t>
            </w:r>
          </w:p>
        </w:tc>
        <w:tc>
          <w:tcPr>
            <w:tcW w:w="7579" w:type="dxa"/>
            <w:shd w:val="clear" w:color="auto" w:fill="auto"/>
          </w:tcPr>
          <w:p w14:paraId="3306AC70" w14:textId="6F80737F" w:rsidR="00E97F9B" w:rsidRPr="005E5973" w:rsidRDefault="002079BB" w:rsidP="00E97F9B">
            <w:pPr>
              <w:rPr>
                <w:rFonts w:ascii="Arial" w:hAnsi="Arial" w:cs="Arial"/>
                <w:b/>
                <w:color w:val="000000" w:themeColor="text1"/>
                <w:sz w:val="20"/>
                <w:lang w:val="fr-CH"/>
              </w:rPr>
            </w:pPr>
            <w:r w:rsidRPr="005E5973">
              <w:rPr>
                <w:rFonts w:ascii="Arial" w:hAnsi="Arial" w:cs="Arial"/>
                <w:b/>
                <w:color w:val="000000" w:themeColor="text1"/>
                <w:sz w:val="20"/>
                <w:lang w:val="fr-CH"/>
              </w:rPr>
              <w:t>E</w:t>
            </w:r>
            <w:r w:rsidR="00FE3517" w:rsidRPr="005E5973">
              <w:rPr>
                <w:rFonts w:ascii="Arial" w:hAnsi="Arial" w:cs="Arial"/>
                <w:b/>
                <w:color w:val="000000" w:themeColor="text1"/>
                <w:sz w:val="20"/>
                <w:lang w:val="fr-CH"/>
              </w:rPr>
              <w:t>xemple</w:t>
            </w:r>
            <w:r w:rsidR="00E97F9B" w:rsidRPr="005E5973">
              <w:rPr>
                <w:rFonts w:ascii="Arial" w:hAnsi="Arial" w:cs="Arial"/>
                <w:b/>
                <w:color w:val="000000" w:themeColor="text1"/>
                <w:sz w:val="20"/>
                <w:lang w:val="fr-CH"/>
              </w:rPr>
              <w:br/>
            </w:r>
          </w:p>
          <w:p w14:paraId="22120594" w14:textId="17B402F6" w:rsidR="006C7B17" w:rsidRPr="005E5973" w:rsidRDefault="002079BB" w:rsidP="00267463">
            <w:pPr>
              <w:numPr>
                <w:ilvl w:val="0"/>
                <w:numId w:val="1"/>
              </w:numPr>
              <w:rPr>
                <w:rFonts w:ascii="Arial" w:hAnsi="Arial" w:cs="Arial"/>
                <w:b/>
                <w:color w:val="000000" w:themeColor="text1"/>
                <w:sz w:val="20"/>
                <w:u w:val="single"/>
                <w:lang w:val="fr-CH"/>
              </w:rPr>
            </w:pPr>
            <w:r w:rsidRPr="005E5973">
              <w:rPr>
                <w:rFonts w:ascii="Arial" w:hAnsi="Arial" w:cs="Arial"/>
                <w:b/>
                <w:color w:val="000000" w:themeColor="text1"/>
                <w:sz w:val="20"/>
                <w:u w:val="single"/>
                <w:lang w:val="fr-CH"/>
              </w:rPr>
              <w:t>Principes</w:t>
            </w:r>
          </w:p>
          <w:p w14:paraId="286CBDC8" w14:textId="77777777" w:rsidR="00786192" w:rsidRPr="005E5973" w:rsidRDefault="00786192" w:rsidP="00786192">
            <w:pPr>
              <w:ind w:left="360"/>
              <w:rPr>
                <w:rFonts w:ascii="Arial" w:hAnsi="Arial" w:cs="Arial"/>
                <w:b/>
                <w:color w:val="000000" w:themeColor="text1"/>
                <w:sz w:val="20"/>
                <w:u w:val="single"/>
                <w:lang w:val="fr-CH"/>
              </w:rPr>
            </w:pPr>
          </w:p>
          <w:p w14:paraId="6EB97247" w14:textId="7E73203B" w:rsidR="00786192" w:rsidRPr="005E5973" w:rsidRDefault="002079BB" w:rsidP="00786192">
            <w:pPr>
              <w:rPr>
                <w:rFonts w:ascii="Arial" w:hAnsi="Arial" w:cs="Arial"/>
                <w:color w:val="000000" w:themeColor="text1"/>
                <w:sz w:val="20"/>
                <w:lang w:val="fr-CH"/>
              </w:rPr>
            </w:pPr>
            <w:r w:rsidRPr="005E5973">
              <w:rPr>
                <w:rFonts w:ascii="Arial" w:hAnsi="Arial" w:cs="Arial"/>
                <w:color w:val="000000" w:themeColor="text1"/>
                <w:sz w:val="20"/>
                <w:lang w:val="fr-CH"/>
              </w:rPr>
              <w:t>L’objectif suprême est de maintenir le but de l’organisation et la garantie durable de l’équilibre financier.</w:t>
            </w:r>
            <w:r w:rsidR="00786192" w:rsidRPr="005E5973">
              <w:rPr>
                <w:rFonts w:ascii="Arial" w:hAnsi="Arial" w:cs="Arial"/>
                <w:color w:val="000000" w:themeColor="text1"/>
                <w:sz w:val="20"/>
                <w:lang w:val="fr-CH"/>
              </w:rPr>
              <w:t xml:space="preserve"> </w:t>
            </w:r>
            <w:r w:rsidRPr="005E5973">
              <w:rPr>
                <w:rFonts w:ascii="Arial" w:hAnsi="Arial" w:cs="Arial"/>
                <w:color w:val="000000" w:themeColor="text1"/>
                <w:sz w:val="20"/>
                <w:lang w:val="fr-CH"/>
              </w:rPr>
              <w:t>Lors du placement des actifs, il convient de tenir compte le mieux possible de cette instruction.</w:t>
            </w:r>
            <w:r w:rsidR="00786192" w:rsidRPr="005E5973">
              <w:rPr>
                <w:rFonts w:ascii="Arial" w:hAnsi="Arial" w:cs="Arial"/>
                <w:color w:val="000000" w:themeColor="text1"/>
                <w:sz w:val="20"/>
                <w:lang w:val="fr-CH"/>
              </w:rPr>
              <w:t xml:space="preserve"> </w:t>
            </w:r>
          </w:p>
          <w:p w14:paraId="5B61F8B7" w14:textId="77777777" w:rsidR="00E97F9B" w:rsidRPr="005E5973" w:rsidRDefault="00E97F9B" w:rsidP="00267463">
            <w:pPr>
              <w:rPr>
                <w:rFonts w:ascii="Arial" w:hAnsi="Arial" w:cs="Arial"/>
                <w:color w:val="000000" w:themeColor="text1"/>
                <w:sz w:val="20"/>
                <w:lang w:val="fr-CH"/>
              </w:rPr>
            </w:pPr>
          </w:p>
        </w:tc>
      </w:tr>
      <w:tr w:rsidR="00E97F9B" w:rsidRPr="0042566D" w14:paraId="39026D7C" w14:textId="77777777" w:rsidTr="00123BE6">
        <w:tc>
          <w:tcPr>
            <w:tcW w:w="2548" w:type="dxa"/>
            <w:shd w:val="clear" w:color="auto" w:fill="auto"/>
          </w:tcPr>
          <w:p w14:paraId="7CD129E2" w14:textId="23B264B0" w:rsidR="003A2025" w:rsidRPr="005E5973" w:rsidRDefault="002079BB" w:rsidP="00045FB0">
            <w:pPr>
              <w:jc w:val="right"/>
              <w:rPr>
                <w:rFonts w:ascii="Arial" w:hAnsi="Arial" w:cs="Arial"/>
                <w:i/>
                <w:iCs/>
                <w:color w:val="00798C"/>
                <w:sz w:val="21"/>
                <w:szCs w:val="21"/>
                <w:shd w:val="clear" w:color="auto" w:fill="FFFFFF"/>
                <w:lang w:val="fr-CH"/>
              </w:rPr>
            </w:pPr>
            <w:r w:rsidRPr="005E5973">
              <w:rPr>
                <w:rFonts w:ascii="Arial" w:hAnsi="Arial" w:cs="Arial"/>
                <w:i/>
                <w:iCs/>
                <w:color w:val="00798C"/>
                <w:sz w:val="21"/>
                <w:szCs w:val="21"/>
                <w:shd w:val="clear" w:color="auto" w:fill="FFFFFF"/>
                <w:lang w:val="fr-CH"/>
              </w:rPr>
              <w:t>Ne vous référez pas seulement aux aspects financiers comme la liquidité, la sécurité et le risque, mais également aux aspects de la durabilité.</w:t>
            </w:r>
            <w:r w:rsidR="001B1D0C" w:rsidRPr="005E5973">
              <w:rPr>
                <w:rFonts w:ascii="Arial" w:hAnsi="Arial" w:cs="Arial"/>
                <w:i/>
                <w:iCs/>
                <w:color w:val="00798C"/>
                <w:sz w:val="21"/>
                <w:szCs w:val="21"/>
                <w:shd w:val="clear" w:color="auto" w:fill="FFFFFF"/>
                <w:lang w:val="fr-CH"/>
              </w:rPr>
              <w:t xml:space="preserve"> </w:t>
            </w:r>
            <w:r w:rsidRPr="005E5973">
              <w:rPr>
                <w:rFonts w:ascii="Arial" w:hAnsi="Arial" w:cs="Arial"/>
                <w:i/>
                <w:iCs/>
                <w:color w:val="00798C"/>
                <w:sz w:val="21"/>
                <w:szCs w:val="21"/>
                <w:shd w:val="clear" w:color="auto" w:fill="FFFFFF"/>
                <w:lang w:val="fr-CH"/>
              </w:rPr>
              <w:t>Pondérez-les en fonction de la finalité de votre organisation.</w:t>
            </w:r>
          </w:p>
          <w:p w14:paraId="7F40B849" w14:textId="77777777" w:rsidR="001B1D0C" w:rsidRPr="005E5973" w:rsidRDefault="001B1D0C" w:rsidP="00045FB0">
            <w:pPr>
              <w:jc w:val="right"/>
              <w:rPr>
                <w:rFonts w:ascii="Arial" w:hAnsi="Arial" w:cs="Arial"/>
                <w:i/>
                <w:iCs/>
                <w:color w:val="00798C"/>
                <w:sz w:val="21"/>
                <w:szCs w:val="21"/>
                <w:lang w:val="fr-CH"/>
              </w:rPr>
            </w:pPr>
          </w:p>
          <w:p w14:paraId="63E101C6" w14:textId="77777777" w:rsidR="003D0B6C" w:rsidRPr="005E5973" w:rsidRDefault="003D0B6C" w:rsidP="00045FB0">
            <w:pPr>
              <w:jc w:val="right"/>
              <w:rPr>
                <w:rFonts w:ascii="Arial" w:hAnsi="Arial" w:cs="Arial"/>
                <w:i/>
                <w:iCs/>
                <w:color w:val="00798C"/>
                <w:sz w:val="21"/>
                <w:szCs w:val="21"/>
                <w:lang w:val="fr-CH"/>
              </w:rPr>
            </w:pPr>
          </w:p>
          <w:p w14:paraId="70EACC04" w14:textId="41E2F8DA" w:rsidR="006C7B17" w:rsidRPr="005E5973" w:rsidRDefault="002079BB" w:rsidP="003B3023">
            <w:pPr>
              <w:spacing w:before="160"/>
              <w:jc w:val="right"/>
              <w:rPr>
                <w:rFonts w:ascii="Arial" w:hAnsi="Arial" w:cs="Arial"/>
                <w:i/>
                <w:iCs/>
                <w:color w:val="00798C"/>
                <w:sz w:val="21"/>
                <w:szCs w:val="21"/>
                <w:shd w:val="clear" w:color="auto" w:fill="FFFFFF"/>
                <w:lang w:val="fr-CH"/>
              </w:rPr>
            </w:pPr>
            <w:r w:rsidRPr="005E5973">
              <w:rPr>
                <w:rFonts w:ascii="Arial" w:hAnsi="Arial" w:cs="Arial"/>
                <w:i/>
                <w:iCs/>
                <w:color w:val="00798C"/>
                <w:sz w:val="21"/>
                <w:szCs w:val="21"/>
                <w:shd w:val="clear" w:color="auto" w:fill="FFFFFF"/>
                <w:lang w:val="fr-CH"/>
              </w:rPr>
              <w:t>La référence à des placements durables peut se faire avec la mention des critères de sélection ou conformément aux règles courantes, par exemple les critères d’</w:t>
            </w:r>
            <w:proofErr w:type="spellStart"/>
            <w:r w:rsidRPr="005E5973">
              <w:rPr>
                <w:rFonts w:ascii="Arial" w:hAnsi="Arial" w:cs="Arial"/>
                <w:i/>
                <w:iCs/>
                <w:color w:val="00798C"/>
                <w:sz w:val="21"/>
                <w:szCs w:val="21"/>
                <w:shd w:val="clear" w:color="auto" w:fill="FFFFFF"/>
                <w:lang w:val="fr-CH"/>
              </w:rPr>
              <w:t>environmental</w:t>
            </w:r>
            <w:proofErr w:type="spellEnd"/>
            <w:r w:rsidRPr="005E5973">
              <w:rPr>
                <w:rFonts w:ascii="Arial" w:hAnsi="Arial" w:cs="Arial"/>
                <w:i/>
                <w:iCs/>
                <w:color w:val="00798C"/>
                <w:sz w:val="21"/>
                <w:szCs w:val="21"/>
                <w:shd w:val="clear" w:color="auto" w:fill="FFFFFF"/>
                <w:lang w:val="fr-CH"/>
              </w:rPr>
              <w:t xml:space="preserve">, social and </w:t>
            </w:r>
            <w:proofErr w:type="spellStart"/>
            <w:r w:rsidRPr="005E5973">
              <w:rPr>
                <w:rFonts w:ascii="Arial" w:hAnsi="Arial" w:cs="Arial"/>
                <w:i/>
                <w:iCs/>
                <w:color w:val="00798C"/>
                <w:sz w:val="21"/>
                <w:szCs w:val="21"/>
                <w:shd w:val="clear" w:color="auto" w:fill="FFFFFF"/>
                <w:lang w:val="fr-CH"/>
              </w:rPr>
              <w:t>corporate</w:t>
            </w:r>
            <w:proofErr w:type="spellEnd"/>
            <w:r w:rsidRPr="005E5973">
              <w:rPr>
                <w:rFonts w:ascii="Arial" w:hAnsi="Arial" w:cs="Arial"/>
                <w:i/>
                <w:iCs/>
                <w:color w:val="00798C"/>
                <w:sz w:val="21"/>
                <w:szCs w:val="21"/>
                <w:shd w:val="clear" w:color="auto" w:fill="FFFFFF"/>
                <w:lang w:val="fr-CH"/>
              </w:rPr>
              <w:t xml:space="preserve"> </w:t>
            </w:r>
            <w:proofErr w:type="spellStart"/>
            <w:r w:rsidRPr="005E5973">
              <w:rPr>
                <w:rFonts w:ascii="Arial" w:hAnsi="Arial" w:cs="Arial"/>
                <w:i/>
                <w:iCs/>
                <w:color w:val="00798C"/>
                <w:sz w:val="21"/>
                <w:szCs w:val="21"/>
                <w:shd w:val="clear" w:color="auto" w:fill="FFFFFF"/>
                <w:lang w:val="fr-CH"/>
              </w:rPr>
              <w:t>governance</w:t>
            </w:r>
            <w:proofErr w:type="spellEnd"/>
            <w:r w:rsidRPr="005E5973">
              <w:rPr>
                <w:rFonts w:ascii="Arial" w:hAnsi="Arial" w:cs="Arial"/>
                <w:i/>
                <w:iCs/>
                <w:color w:val="00798C"/>
                <w:sz w:val="21"/>
                <w:szCs w:val="21"/>
                <w:shd w:val="clear" w:color="auto" w:fill="FFFFFF"/>
                <w:lang w:val="fr-CH"/>
              </w:rPr>
              <w:t xml:space="preserve"> (ESG) les critères du </w:t>
            </w:r>
            <w:proofErr w:type="spellStart"/>
            <w:r w:rsidRPr="005E5973">
              <w:rPr>
                <w:rFonts w:ascii="Arial" w:hAnsi="Arial" w:cs="Arial"/>
                <w:i/>
                <w:iCs/>
                <w:color w:val="00798C"/>
                <w:sz w:val="21"/>
                <w:szCs w:val="21"/>
                <w:shd w:val="clear" w:color="auto" w:fill="FFFFFF"/>
                <w:lang w:val="fr-CH"/>
              </w:rPr>
              <w:t>Socially</w:t>
            </w:r>
            <w:proofErr w:type="spellEnd"/>
            <w:r w:rsidRPr="005E5973">
              <w:rPr>
                <w:rFonts w:ascii="Arial" w:hAnsi="Arial" w:cs="Arial"/>
                <w:i/>
                <w:iCs/>
                <w:color w:val="00798C"/>
                <w:sz w:val="21"/>
                <w:szCs w:val="21"/>
                <w:shd w:val="clear" w:color="auto" w:fill="FFFFFF"/>
                <w:lang w:val="fr-CH"/>
              </w:rPr>
              <w:t xml:space="preserve"> </w:t>
            </w:r>
            <w:proofErr w:type="spellStart"/>
            <w:r w:rsidRPr="005E5973">
              <w:rPr>
                <w:rFonts w:ascii="Arial" w:hAnsi="Arial" w:cs="Arial"/>
                <w:i/>
                <w:iCs/>
                <w:color w:val="00798C"/>
                <w:sz w:val="21"/>
                <w:szCs w:val="21"/>
                <w:shd w:val="clear" w:color="auto" w:fill="FFFFFF"/>
                <w:lang w:val="fr-CH"/>
              </w:rPr>
              <w:t>responsible</w:t>
            </w:r>
            <w:proofErr w:type="spellEnd"/>
            <w:r w:rsidRPr="005E5973">
              <w:rPr>
                <w:rFonts w:ascii="Arial" w:hAnsi="Arial" w:cs="Arial"/>
                <w:i/>
                <w:iCs/>
                <w:color w:val="00798C"/>
                <w:sz w:val="21"/>
                <w:szCs w:val="21"/>
                <w:shd w:val="clear" w:color="auto" w:fill="FFFFFF"/>
                <w:lang w:val="fr-CH"/>
              </w:rPr>
              <w:t xml:space="preserve"> </w:t>
            </w:r>
            <w:proofErr w:type="spellStart"/>
            <w:r w:rsidRPr="005E5973">
              <w:rPr>
                <w:rFonts w:ascii="Arial" w:hAnsi="Arial" w:cs="Arial"/>
                <w:i/>
                <w:iCs/>
                <w:color w:val="00798C"/>
                <w:sz w:val="21"/>
                <w:szCs w:val="21"/>
                <w:shd w:val="clear" w:color="auto" w:fill="FFFFFF"/>
                <w:lang w:val="fr-CH"/>
              </w:rPr>
              <w:t>investing</w:t>
            </w:r>
            <w:proofErr w:type="spellEnd"/>
            <w:r w:rsidRPr="005E5973">
              <w:rPr>
                <w:rFonts w:ascii="Arial" w:hAnsi="Arial" w:cs="Arial"/>
                <w:i/>
                <w:iCs/>
                <w:color w:val="00798C"/>
                <w:sz w:val="21"/>
                <w:szCs w:val="21"/>
                <w:shd w:val="clear" w:color="auto" w:fill="FFFFFF"/>
                <w:lang w:val="fr-CH"/>
              </w:rPr>
              <w:t xml:space="preserve"> (SRI) ou l’Agenda 2030 des Nations unies.</w:t>
            </w:r>
          </w:p>
          <w:p w14:paraId="3983C3D8" w14:textId="77777777" w:rsidR="004827A2" w:rsidRPr="005E5973" w:rsidRDefault="004827A2" w:rsidP="006545AA">
            <w:pPr>
              <w:rPr>
                <w:rFonts w:ascii="Arial" w:hAnsi="Arial" w:cs="Arial"/>
                <w:i/>
                <w:iCs/>
                <w:color w:val="00798C"/>
                <w:sz w:val="21"/>
                <w:szCs w:val="21"/>
                <w:shd w:val="clear" w:color="auto" w:fill="FFFFFF"/>
                <w:lang w:val="fr-CH"/>
              </w:rPr>
            </w:pPr>
          </w:p>
          <w:p w14:paraId="2780CE44" w14:textId="517B1790" w:rsidR="00373CCD" w:rsidRPr="005E5973" w:rsidRDefault="002079BB" w:rsidP="006545AA">
            <w:pPr>
              <w:spacing w:before="40"/>
              <w:jc w:val="right"/>
              <w:rPr>
                <w:rFonts w:ascii="Arial" w:hAnsi="Arial" w:cs="Arial"/>
                <w:i/>
                <w:iCs/>
                <w:color w:val="00798C"/>
                <w:sz w:val="21"/>
                <w:szCs w:val="21"/>
                <w:shd w:val="clear" w:color="auto" w:fill="FFFFFF"/>
                <w:lang w:val="fr-CH"/>
              </w:rPr>
            </w:pPr>
            <w:r w:rsidRPr="005E5973">
              <w:rPr>
                <w:rFonts w:ascii="Arial" w:hAnsi="Arial" w:cs="Arial"/>
                <w:i/>
                <w:iCs/>
                <w:color w:val="00798C"/>
                <w:sz w:val="21"/>
                <w:szCs w:val="21"/>
                <w:shd w:val="clear" w:color="auto" w:fill="FFFFFF"/>
                <w:lang w:val="fr-CH"/>
              </w:rPr>
              <w:t>Concrétisez certains points qui sont importants pour vous lors de la mise en œuvre.</w:t>
            </w:r>
          </w:p>
          <w:p w14:paraId="1375C1F9" w14:textId="77777777" w:rsidR="003A2025" w:rsidRPr="005E5973" w:rsidRDefault="003A2025" w:rsidP="00373CCD">
            <w:pPr>
              <w:rPr>
                <w:rFonts w:ascii="Arial" w:hAnsi="Arial" w:cs="Arial"/>
                <w:i/>
                <w:iCs/>
                <w:color w:val="00798C"/>
                <w:sz w:val="21"/>
                <w:szCs w:val="21"/>
                <w:shd w:val="clear" w:color="auto" w:fill="FFFFFF"/>
                <w:lang w:val="fr-CH"/>
              </w:rPr>
            </w:pPr>
          </w:p>
        </w:tc>
        <w:tc>
          <w:tcPr>
            <w:tcW w:w="7579" w:type="dxa"/>
            <w:shd w:val="clear" w:color="auto" w:fill="auto"/>
          </w:tcPr>
          <w:p w14:paraId="22A4B59F" w14:textId="7F7C7113" w:rsidR="00023873" w:rsidRPr="005E5973" w:rsidRDefault="002079BB" w:rsidP="00023873">
            <w:pPr>
              <w:rPr>
                <w:rFonts w:ascii="Helvetica" w:hAnsi="Helvetica"/>
                <w:color w:val="333333"/>
                <w:sz w:val="21"/>
                <w:szCs w:val="21"/>
                <w:shd w:val="clear" w:color="auto" w:fill="FFFFFF"/>
                <w:lang w:val="fr-CH"/>
              </w:rPr>
            </w:pPr>
            <w:r w:rsidRPr="005E5973">
              <w:rPr>
                <w:rFonts w:ascii="Arial" w:hAnsi="Arial" w:cs="Arial"/>
                <w:color w:val="000000" w:themeColor="text1"/>
                <w:sz w:val="20"/>
                <w:lang w:val="fr-CH"/>
              </w:rPr>
              <w:t>Les placements des actifs doivent être sélectionnés, gérés et surveillés avec soin.</w:t>
            </w:r>
            <w:r w:rsidR="00643E2A" w:rsidRPr="005E5973">
              <w:rPr>
                <w:rFonts w:ascii="Arial" w:hAnsi="Arial" w:cs="Arial"/>
                <w:color w:val="000000" w:themeColor="text1"/>
                <w:sz w:val="20"/>
                <w:lang w:val="fr-CH"/>
              </w:rPr>
              <w:t xml:space="preserve"> </w:t>
            </w:r>
            <w:r w:rsidRPr="005E5973">
              <w:rPr>
                <w:rFonts w:ascii="Arial" w:hAnsi="Arial" w:cs="Arial"/>
                <w:color w:val="000000" w:themeColor="text1"/>
                <w:sz w:val="20"/>
                <w:lang w:val="fr-CH"/>
              </w:rPr>
              <w:t>Lors de la gestion des actifs, outre les critères financiers, des aspects sociaux et écologiques ainsi que des critères de bonne gouvernance doivent être pris en compte.</w:t>
            </w:r>
          </w:p>
          <w:p w14:paraId="23D86397" w14:textId="77777777" w:rsidR="00023873" w:rsidRPr="005E5973" w:rsidRDefault="00023873" w:rsidP="00023873">
            <w:pPr>
              <w:rPr>
                <w:rFonts w:ascii="Helvetica" w:eastAsia="Times New Roman" w:hAnsi="Helvetica"/>
                <w:color w:val="333333"/>
                <w:sz w:val="21"/>
                <w:szCs w:val="21"/>
                <w:shd w:val="clear" w:color="auto" w:fill="FFFFFF"/>
                <w:lang w:val="fr-CH"/>
              </w:rPr>
            </w:pPr>
          </w:p>
          <w:p w14:paraId="3F714EA1" w14:textId="77777777" w:rsidR="00E97F9B" w:rsidRPr="005E5973" w:rsidRDefault="00E97F9B" w:rsidP="00267463">
            <w:pPr>
              <w:rPr>
                <w:rFonts w:ascii="Arial" w:hAnsi="Arial" w:cs="Arial"/>
                <w:color w:val="000000" w:themeColor="text1"/>
                <w:sz w:val="20"/>
                <w:lang w:val="fr-CH"/>
              </w:rPr>
            </w:pPr>
          </w:p>
          <w:p w14:paraId="78E247DB" w14:textId="77777777" w:rsidR="003A2025" w:rsidRPr="005E5973" w:rsidRDefault="003A2025" w:rsidP="00267463">
            <w:pPr>
              <w:rPr>
                <w:rFonts w:ascii="Arial" w:hAnsi="Arial" w:cs="Arial"/>
                <w:color w:val="000000" w:themeColor="text1"/>
                <w:sz w:val="20"/>
                <w:lang w:val="fr-CH"/>
              </w:rPr>
            </w:pPr>
          </w:p>
          <w:p w14:paraId="1BEBA6CE" w14:textId="77777777" w:rsidR="003A2025" w:rsidRPr="005E5973" w:rsidRDefault="003A2025" w:rsidP="00267463">
            <w:pPr>
              <w:rPr>
                <w:rFonts w:ascii="Arial" w:hAnsi="Arial" w:cs="Arial"/>
                <w:color w:val="000000" w:themeColor="text1"/>
                <w:sz w:val="20"/>
                <w:lang w:val="fr-CH"/>
              </w:rPr>
            </w:pPr>
          </w:p>
          <w:p w14:paraId="3A6AE542" w14:textId="77777777" w:rsidR="003A2025" w:rsidRPr="005E5973" w:rsidRDefault="003A2025" w:rsidP="00267463">
            <w:pPr>
              <w:rPr>
                <w:rFonts w:ascii="Arial" w:hAnsi="Arial" w:cs="Arial"/>
                <w:color w:val="000000" w:themeColor="text1"/>
                <w:sz w:val="20"/>
                <w:lang w:val="fr-CH"/>
              </w:rPr>
            </w:pPr>
          </w:p>
          <w:p w14:paraId="31E9E633" w14:textId="77777777" w:rsidR="003A2025" w:rsidRPr="005E5973" w:rsidRDefault="003A2025" w:rsidP="00267463">
            <w:pPr>
              <w:rPr>
                <w:rFonts w:ascii="Arial" w:hAnsi="Arial" w:cs="Arial"/>
                <w:color w:val="000000" w:themeColor="text1"/>
                <w:sz w:val="20"/>
                <w:lang w:val="fr-CH"/>
              </w:rPr>
            </w:pPr>
          </w:p>
          <w:p w14:paraId="75310878" w14:textId="77777777" w:rsidR="003A2025" w:rsidRPr="005E5973" w:rsidRDefault="003A2025" w:rsidP="00267463">
            <w:pPr>
              <w:rPr>
                <w:rFonts w:ascii="Arial" w:hAnsi="Arial" w:cs="Arial"/>
                <w:color w:val="000000" w:themeColor="text1"/>
                <w:sz w:val="20"/>
                <w:lang w:val="fr-CH"/>
              </w:rPr>
            </w:pPr>
          </w:p>
          <w:p w14:paraId="3686A699" w14:textId="77777777" w:rsidR="00C706E1" w:rsidRPr="005E5973" w:rsidRDefault="00C706E1" w:rsidP="00267463">
            <w:pPr>
              <w:rPr>
                <w:rFonts w:ascii="Arial" w:hAnsi="Arial" w:cs="Arial"/>
                <w:color w:val="000000" w:themeColor="text1"/>
                <w:sz w:val="20"/>
                <w:lang w:val="fr-CH"/>
              </w:rPr>
            </w:pPr>
          </w:p>
          <w:p w14:paraId="751ECA8B" w14:textId="6C66E17F" w:rsidR="001B1D0C" w:rsidRPr="005E5973" w:rsidRDefault="002079BB" w:rsidP="00267463">
            <w:pPr>
              <w:rPr>
                <w:rFonts w:ascii="Arial" w:hAnsi="Arial" w:cs="Arial"/>
                <w:color w:val="000000" w:themeColor="text1"/>
                <w:sz w:val="20"/>
                <w:lang w:val="fr-CH"/>
              </w:rPr>
            </w:pPr>
            <w:r w:rsidRPr="005E5973">
              <w:rPr>
                <w:rFonts w:ascii="Arial" w:hAnsi="Arial" w:cs="Arial"/>
                <w:color w:val="000000" w:themeColor="text1"/>
                <w:sz w:val="20"/>
                <w:lang w:val="fr-CH"/>
              </w:rPr>
              <w:t>Les risques de réputation possibles impliqués par les placements doivent être évités.</w:t>
            </w:r>
            <w:r w:rsidR="001B1D0C" w:rsidRPr="005E5973">
              <w:rPr>
                <w:rFonts w:ascii="Arial" w:hAnsi="Arial" w:cs="Arial"/>
                <w:color w:val="000000" w:themeColor="text1"/>
                <w:sz w:val="20"/>
                <w:lang w:val="fr-CH"/>
              </w:rPr>
              <w:t xml:space="preserve"> </w:t>
            </w:r>
            <w:r w:rsidRPr="005E5973">
              <w:rPr>
                <w:rFonts w:ascii="Arial" w:hAnsi="Arial" w:cs="Arial"/>
                <w:color w:val="000000" w:themeColor="text1"/>
                <w:sz w:val="20"/>
                <w:lang w:val="fr-CH"/>
              </w:rPr>
              <w:t>Il convient de tenir compte également des critères positifs et d’exclusion visés aux annexes 2 et 3.</w:t>
            </w:r>
          </w:p>
          <w:p w14:paraId="394D2684" w14:textId="77777777" w:rsidR="001B1D0C" w:rsidRPr="005E5973" w:rsidRDefault="001B1D0C" w:rsidP="00267463">
            <w:pPr>
              <w:rPr>
                <w:rFonts w:ascii="Arial" w:hAnsi="Arial" w:cs="Arial"/>
                <w:color w:val="000000" w:themeColor="text1"/>
                <w:sz w:val="20"/>
                <w:lang w:val="fr-CH"/>
              </w:rPr>
            </w:pPr>
          </w:p>
          <w:p w14:paraId="5FCB5EB5" w14:textId="77777777" w:rsidR="001B1D0C" w:rsidRPr="005E5973" w:rsidRDefault="001B1D0C" w:rsidP="00267463">
            <w:pPr>
              <w:rPr>
                <w:rFonts w:ascii="Arial" w:hAnsi="Arial" w:cs="Arial"/>
                <w:color w:val="000000" w:themeColor="text1"/>
                <w:sz w:val="20"/>
                <w:lang w:val="fr-CH"/>
              </w:rPr>
            </w:pPr>
          </w:p>
          <w:p w14:paraId="17FD2DE8" w14:textId="77777777" w:rsidR="001B1D0C" w:rsidRPr="005E5973" w:rsidRDefault="001B1D0C" w:rsidP="00267463">
            <w:pPr>
              <w:rPr>
                <w:rFonts w:ascii="Arial" w:hAnsi="Arial" w:cs="Arial"/>
                <w:color w:val="000000" w:themeColor="text1"/>
                <w:sz w:val="20"/>
                <w:lang w:val="fr-CH"/>
              </w:rPr>
            </w:pPr>
          </w:p>
          <w:p w14:paraId="66D6E330" w14:textId="77777777" w:rsidR="003A2025" w:rsidRPr="005E5973" w:rsidRDefault="003A2025" w:rsidP="00267463">
            <w:pPr>
              <w:rPr>
                <w:rFonts w:ascii="Arial" w:hAnsi="Arial" w:cs="Arial"/>
                <w:color w:val="000000" w:themeColor="text1"/>
                <w:sz w:val="20"/>
                <w:lang w:val="fr-CH"/>
              </w:rPr>
            </w:pPr>
          </w:p>
          <w:p w14:paraId="5CD69455" w14:textId="77777777" w:rsidR="003A2025" w:rsidRPr="005E5973" w:rsidRDefault="003A2025" w:rsidP="00267463">
            <w:pPr>
              <w:rPr>
                <w:rFonts w:ascii="Arial" w:hAnsi="Arial" w:cs="Arial"/>
                <w:color w:val="000000" w:themeColor="text1"/>
                <w:sz w:val="20"/>
                <w:lang w:val="fr-CH"/>
              </w:rPr>
            </w:pPr>
          </w:p>
          <w:p w14:paraId="2F05704C" w14:textId="77777777" w:rsidR="003A2025" w:rsidRPr="005E5973" w:rsidRDefault="003A2025" w:rsidP="00267463">
            <w:pPr>
              <w:rPr>
                <w:rFonts w:ascii="Arial" w:hAnsi="Arial" w:cs="Arial"/>
                <w:color w:val="000000" w:themeColor="text1"/>
                <w:sz w:val="20"/>
                <w:lang w:val="fr-CH"/>
              </w:rPr>
            </w:pPr>
          </w:p>
          <w:p w14:paraId="7EB1F144" w14:textId="77777777" w:rsidR="003A2025" w:rsidRPr="005E5973" w:rsidRDefault="003A2025" w:rsidP="00267463">
            <w:pPr>
              <w:rPr>
                <w:rFonts w:ascii="Arial" w:hAnsi="Arial" w:cs="Arial"/>
                <w:color w:val="000000" w:themeColor="text1"/>
                <w:sz w:val="20"/>
                <w:lang w:val="fr-CH"/>
              </w:rPr>
            </w:pPr>
          </w:p>
          <w:p w14:paraId="0B81BFDB" w14:textId="77777777" w:rsidR="003A2025" w:rsidRPr="005E5973" w:rsidRDefault="003A2025" w:rsidP="00267463">
            <w:pPr>
              <w:rPr>
                <w:rFonts w:ascii="Arial" w:hAnsi="Arial" w:cs="Arial"/>
                <w:color w:val="000000" w:themeColor="text1"/>
                <w:sz w:val="20"/>
                <w:lang w:val="fr-CH"/>
              </w:rPr>
            </w:pPr>
          </w:p>
          <w:p w14:paraId="0BA9FBAB" w14:textId="77777777" w:rsidR="003A2025" w:rsidRPr="005E5973" w:rsidRDefault="003A2025" w:rsidP="00267463">
            <w:pPr>
              <w:rPr>
                <w:rFonts w:ascii="Arial" w:hAnsi="Arial" w:cs="Arial"/>
                <w:color w:val="000000" w:themeColor="text1"/>
                <w:sz w:val="20"/>
                <w:lang w:val="fr-CH"/>
              </w:rPr>
            </w:pPr>
          </w:p>
          <w:p w14:paraId="13289110" w14:textId="77777777" w:rsidR="003A2025" w:rsidRPr="005E5973" w:rsidRDefault="003A2025" w:rsidP="00267463">
            <w:pPr>
              <w:rPr>
                <w:rFonts w:ascii="Arial" w:hAnsi="Arial" w:cs="Arial"/>
                <w:color w:val="000000" w:themeColor="text1"/>
                <w:sz w:val="20"/>
                <w:lang w:val="fr-CH"/>
              </w:rPr>
            </w:pPr>
          </w:p>
          <w:p w14:paraId="1651C04C" w14:textId="77777777" w:rsidR="003A2025" w:rsidRPr="005E5973" w:rsidRDefault="003A2025" w:rsidP="00267463">
            <w:pPr>
              <w:rPr>
                <w:rFonts w:ascii="Arial" w:hAnsi="Arial" w:cs="Arial"/>
                <w:color w:val="000000" w:themeColor="text1"/>
                <w:sz w:val="20"/>
                <w:lang w:val="fr-CH"/>
              </w:rPr>
            </w:pPr>
          </w:p>
          <w:p w14:paraId="5B475453" w14:textId="77777777" w:rsidR="00753959" w:rsidRPr="005E5973" w:rsidRDefault="00753959" w:rsidP="00267463">
            <w:pPr>
              <w:rPr>
                <w:rFonts w:ascii="Arial" w:hAnsi="Arial" w:cs="Arial"/>
                <w:color w:val="000000" w:themeColor="text1"/>
                <w:sz w:val="20"/>
                <w:lang w:val="fr-CH"/>
              </w:rPr>
            </w:pPr>
          </w:p>
          <w:p w14:paraId="3BB26246" w14:textId="77777777" w:rsidR="00753959" w:rsidRPr="005E5973" w:rsidRDefault="00753959" w:rsidP="00267463">
            <w:pPr>
              <w:rPr>
                <w:rFonts w:ascii="Arial" w:hAnsi="Arial" w:cs="Arial"/>
                <w:color w:val="000000" w:themeColor="text1"/>
                <w:sz w:val="20"/>
                <w:lang w:val="fr-CH"/>
              </w:rPr>
            </w:pPr>
          </w:p>
          <w:p w14:paraId="4A0DFDBE" w14:textId="77777777" w:rsidR="003D0B6C" w:rsidRPr="005E5973" w:rsidRDefault="003D0B6C" w:rsidP="00267463">
            <w:pPr>
              <w:rPr>
                <w:rFonts w:ascii="Arial" w:hAnsi="Arial" w:cs="Arial"/>
                <w:color w:val="000000" w:themeColor="text1"/>
                <w:sz w:val="20"/>
                <w:lang w:val="fr-CH"/>
              </w:rPr>
            </w:pPr>
          </w:p>
          <w:p w14:paraId="28A2C7B9" w14:textId="01C0E44A" w:rsidR="00DD3B68" w:rsidRPr="005E5973" w:rsidRDefault="002079BB" w:rsidP="00267463">
            <w:pPr>
              <w:rPr>
                <w:rFonts w:ascii="Arial" w:hAnsi="Arial" w:cs="Arial"/>
                <w:color w:val="000000" w:themeColor="text1"/>
                <w:sz w:val="20"/>
                <w:lang w:val="fr-CH"/>
              </w:rPr>
            </w:pPr>
            <w:r w:rsidRPr="005E5973">
              <w:rPr>
                <w:rFonts w:ascii="Arial" w:hAnsi="Arial" w:cs="Arial"/>
                <w:color w:val="000000" w:themeColor="text1"/>
                <w:sz w:val="20"/>
                <w:lang w:val="fr-CH"/>
              </w:rPr>
              <w:t>Notre organisation s’efforce, y compris au moyen de l’activité de placement, en tenant compte simultanément des objectifs économiques et financiers, d’apporter une contribution à un modèle économique et social durable et de le promouvoir.</w:t>
            </w:r>
          </w:p>
          <w:p w14:paraId="07D4DAD4" w14:textId="77777777" w:rsidR="00DD3B68" w:rsidRPr="005E5973" w:rsidRDefault="00DD3B68" w:rsidP="00267463">
            <w:pPr>
              <w:rPr>
                <w:rFonts w:ascii="Arial" w:hAnsi="Arial" w:cs="Arial"/>
                <w:color w:val="000000" w:themeColor="text1"/>
                <w:sz w:val="20"/>
                <w:lang w:val="fr-CH"/>
              </w:rPr>
            </w:pPr>
          </w:p>
          <w:p w14:paraId="0BDBA999" w14:textId="3F09309C" w:rsidR="006C7B17" w:rsidRPr="005E5973" w:rsidRDefault="002079BB" w:rsidP="00267463">
            <w:pPr>
              <w:rPr>
                <w:rFonts w:ascii="Arial" w:hAnsi="Arial" w:cs="Arial"/>
                <w:color w:val="000000" w:themeColor="text1"/>
                <w:sz w:val="20"/>
                <w:lang w:val="fr-CH"/>
              </w:rPr>
            </w:pPr>
            <w:r w:rsidRPr="005E5973">
              <w:rPr>
                <w:rFonts w:ascii="Arial" w:hAnsi="Arial" w:cs="Arial"/>
                <w:color w:val="000000" w:themeColor="text1"/>
                <w:sz w:val="20"/>
                <w:lang w:val="fr-CH"/>
              </w:rPr>
              <w:t>Les placements</w:t>
            </w:r>
            <w:r w:rsidR="00643E2A" w:rsidRPr="005E5973">
              <w:rPr>
                <w:rFonts w:ascii="Arial" w:hAnsi="Arial" w:cs="Arial"/>
                <w:color w:val="000000" w:themeColor="text1"/>
                <w:sz w:val="20"/>
                <w:lang w:val="fr-CH"/>
              </w:rPr>
              <w:t xml:space="preserve"> </w:t>
            </w:r>
          </w:p>
          <w:p w14:paraId="0505F700" w14:textId="78C73768" w:rsidR="00DD3B68" w:rsidRPr="005E5973" w:rsidRDefault="002079BB" w:rsidP="009B3B19">
            <w:pPr>
              <w:numPr>
                <w:ilvl w:val="0"/>
                <w:numId w:val="24"/>
              </w:numPr>
              <w:rPr>
                <w:rFonts w:ascii="Arial" w:hAnsi="Arial" w:cs="Arial"/>
                <w:color w:val="000000" w:themeColor="text1"/>
                <w:sz w:val="20"/>
                <w:lang w:val="fr-CH"/>
              </w:rPr>
            </w:pPr>
            <w:r w:rsidRPr="005E5973">
              <w:rPr>
                <w:rFonts w:ascii="Arial" w:hAnsi="Arial" w:cs="Arial"/>
                <w:color w:val="000000" w:themeColor="text1"/>
                <w:sz w:val="20"/>
                <w:lang w:val="fr-CH"/>
              </w:rPr>
              <w:t xml:space="preserve">sont effectués principalement dans des titres liquides, bien négociables et financièrement solides d’entreprises dans des fonds, dans des obligations de pays ou d’entreprises ainsi que dans des ETF (exchange </w:t>
            </w:r>
            <w:proofErr w:type="spellStart"/>
            <w:r w:rsidRPr="005E5973">
              <w:rPr>
                <w:rFonts w:ascii="Arial" w:hAnsi="Arial" w:cs="Arial"/>
                <w:color w:val="000000" w:themeColor="text1"/>
                <w:sz w:val="20"/>
                <w:lang w:val="fr-CH"/>
              </w:rPr>
              <w:t>traded</w:t>
            </w:r>
            <w:proofErr w:type="spellEnd"/>
            <w:r w:rsidRPr="005E5973">
              <w:rPr>
                <w:rFonts w:ascii="Arial" w:hAnsi="Arial" w:cs="Arial"/>
                <w:color w:val="000000" w:themeColor="text1"/>
                <w:sz w:val="20"/>
                <w:lang w:val="fr-CH"/>
              </w:rPr>
              <w:t xml:space="preserve"> </w:t>
            </w:r>
            <w:proofErr w:type="spellStart"/>
            <w:r w:rsidRPr="005E5973">
              <w:rPr>
                <w:rFonts w:ascii="Arial" w:hAnsi="Arial" w:cs="Arial"/>
                <w:color w:val="000000" w:themeColor="text1"/>
                <w:sz w:val="20"/>
                <w:lang w:val="fr-CH"/>
              </w:rPr>
              <w:t>funds</w:t>
            </w:r>
            <w:proofErr w:type="spellEnd"/>
            <w:r w:rsidRPr="005E5973">
              <w:rPr>
                <w:rFonts w:ascii="Arial" w:hAnsi="Arial" w:cs="Arial"/>
                <w:color w:val="000000" w:themeColor="text1"/>
                <w:sz w:val="20"/>
                <w:lang w:val="fr-CH"/>
              </w:rPr>
              <w:t>).</w:t>
            </w:r>
          </w:p>
          <w:p w14:paraId="50E1791D" w14:textId="1C9F88E0" w:rsidR="00DD3B68" w:rsidRPr="005E5973" w:rsidRDefault="002079BB" w:rsidP="009B3B19">
            <w:pPr>
              <w:numPr>
                <w:ilvl w:val="0"/>
                <w:numId w:val="24"/>
              </w:numPr>
              <w:rPr>
                <w:rFonts w:ascii="Arial" w:hAnsi="Arial" w:cs="Arial"/>
                <w:color w:val="000000" w:themeColor="text1"/>
                <w:sz w:val="20"/>
                <w:lang w:val="fr-CH"/>
              </w:rPr>
            </w:pPr>
            <w:r w:rsidRPr="005E5973">
              <w:rPr>
                <w:rFonts w:ascii="Arial" w:hAnsi="Arial" w:cs="Arial"/>
                <w:color w:val="000000" w:themeColor="text1"/>
                <w:sz w:val="20"/>
                <w:lang w:val="fr-CH"/>
              </w:rPr>
              <w:t>sont répartis entre différentes catégories de placements, marchés, monnaies, branches, régions et secteurs.</w:t>
            </w:r>
          </w:p>
          <w:p w14:paraId="74F03DA0" w14:textId="28359C6B" w:rsidR="00DD3B68" w:rsidRPr="005E5973" w:rsidRDefault="002079BB" w:rsidP="009B3B19">
            <w:pPr>
              <w:numPr>
                <w:ilvl w:val="0"/>
                <w:numId w:val="24"/>
              </w:numPr>
              <w:rPr>
                <w:rFonts w:ascii="Arial" w:hAnsi="Arial" w:cs="Arial"/>
                <w:color w:val="000000" w:themeColor="text1"/>
                <w:sz w:val="20"/>
                <w:lang w:val="fr-CH"/>
              </w:rPr>
            </w:pPr>
            <w:r w:rsidRPr="005E5973">
              <w:rPr>
                <w:rFonts w:ascii="Arial" w:hAnsi="Arial" w:cs="Arial"/>
                <w:color w:val="000000" w:themeColor="text1"/>
                <w:sz w:val="20"/>
                <w:lang w:val="fr-CH"/>
              </w:rPr>
              <w:t>produisent un rendement total conforme au marché.</w:t>
            </w:r>
          </w:p>
          <w:p w14:paraId="3F791923" w14:textId="1D291298" w:rsidR="00DD3B68" w:rsidRPr="005E5973" w:rsidRDefault="002079BB" w:rsidP="00D04614">
            <w:pPr>
              <w:numPr>
                <w:ilvl w:val="0"/>
                <w:numId w:val="24"/>
              </w:numPr>
              <w:rPr>
                <w:rFonts w:ascii="Arial" w:hAnsi="Arial" w:cs="Arial"/>
                <w:color w:val="000000" w:themeColor="text1"/>
                <w:sz w:val="20"/>
                <w:lang w:val="fr-CH"/>
              </w:rPr>
            </w:pPr>
            <w:r w:rsidRPr="005E5973">
              <w:rPr>
                <w:rFonts w:ascii="Arial" w:hAnsi="Arial" w:cs="Arial"/>
                <w:color w:val="000000" w:themeColor="text1"/>
                <w:sz w:val="20"/>
                <w:lang w:val="fr-CH"/>
              </w:rPr>
              <w:t>sont compatibles avec les objectifs sociaux et écologiques de notre organisation et de notre travail.</w:t>
            </w:r>
            <w:r w:rsidR="00373CCD" w:rsidRPr="005E5973">
              <w:rPr>
                <w:rFonts w:ascii="Arial" w:hAnsi="Arial" w:cs="Arial"/>
                <w:color w:val="000000" w:themeColor="text1"/>
                <w:sz w:val="20"/>
                <w:lang w:val="fr-CH"/>
              </w:rPr>
              <w:t xml:space="preserve"> </w:t>
            </w:r>
          </w:p>
          <w:p w14:paraId="23C630DA" w14:textId="509A67BC" w:rsidR="0068264B" w:rsidRPr="005E5973" w:rsidRDefault="00D04614" w:rsidP="006B16FD">
            <w:pPr>
              <w:numPr>
                <w:ilvl w:val="0"/>
                <w:numId w:val="24"/>
              </w:numPr>
              <w:rPr>
                <w:rFonts w:ascii="Arial" w:hAnsi="Arial" w:cs="Arial"/>
                <w:color w:val="000000" w:themeColor="text1"/>
                <w:sz w:val="20"/>
                <w:lang w:val="fr-CH"/>
              </w:rPr>
            </w:pPr>
            <w:r w:rsidRPr="005E5973">
              <w:rPr>
                <w:rFonts w:ascii="Arial" w:hAnsi="Arial" w:cs="Arial"/>
                <w:color w:val="000000" w:themeColor="text1"/>
                <w:sz w:val="20"/>
                <w:lang w:val="fr-CH"/>
              </w:rPr>
              <w:t xml:space="preserve">dans le </w:t>
            </w:r>
            <w:proofErr w:type="spellStart"/>
            <w:r w:rsidRPr="005E5973">
              <w:rPr>
                <w:rFonts w:ascii="Arial" w:hAnsi="Arial" w:cs="Arial"/>
                <w:color w:val="000000" w:themeColor="text1"/>
                <w:sz w:val="20"/>
                <w:lang w:val="fr-CH"/>
              </w:rPr>
              <w:t>private</w:t>
            </w:r>
            <w:proofErr w:type="spellEnd"/>
            <w:r w:rsidRPr="005E5973">
              <w:rPr>
                <w:rFonts w:ascii="Arial" w:hAnsi="Arial" w:cs="Arial"/>
                <w:color w:val="000000" w:themeColor="text1"/>
                <w:sz w:val="20"/>
                <w:lang w:val="fr-CH"/>
              </w:rPr>
              <w:t xml:space="preserve"> </w:t>
            </w:r>
            <w:proofErr w:type="spellStart"/>
            <w:r w:rsidRPr="005E5973">
              <w:rPr>
                <w:rFonts w:ascii="Arial" w:hAnsi="Arial" w:cs="Arial"/>
                <w:color w:val="000000" w:themeColor="text1"/>
                <w:sz w:val="20"/>
                <w:lang w:val="fr-CH"/>
              </w:rPr>
              <w:t>equity</w:t>
            </w:r>
            <w:proofErr w:type="spellEnd"/>
            <w:r w:rsidRPr="005E5973">
              <w:rPr>
                <w:rFonts w:ascii="Arial" w:hAnsi="Arial" w:cs="Arial"/>
                <w:color w:val="000000" w:themeColor="text1"/>
                <w:sz w:val="20"/>
                <w:lang w:val="fr-CH"/>
              </w:rPr>
              <w:t xml:space="preserve">, les matières premières et les </w:t>
            </w:r>
            <w:proofErr w:type="spellStart"/>
            <w:r w:rsidRPr="005E5973">
              <w:rPr>
                <w:rFonts w:ascii="Arial" w:hAnsi="Arial" w:cs="Arial"/>
                <w:color w:val="000000" w:themeColor="text1"/>
                <w:sz w:val="20"/>
                <w:lang w:val="fr-CH"/>
              </w:rPr>
              <w:t>hedge</w:t>
            </w:r>
            <w:proofErr w:type="spellEnd"/>
            <w:r w:rsidRPr="005E5973">
              <w:rPr>
                <w:rFonts w:ascii="Arial" w:hAnsi="Arial" w:cs="Arial"/>
                <w:color w:val="000000" w:themeColor="text1"/>
                <w:sz w:val="20"/>
                <w:lang w:val="fr-CH"/>
              </w:rPr>
              <w:t xml:space="preserve"> </w:t>
            </w:r>
            <w:proofErr w:type="spellStart"/>
            <w:r w:rsidRPr="005E5973">
              <w:rPr>
                <w:rFonts w:ascii="Arial" w:hAnsi="Arial" w:cs="Arial"/>
                <w:color w:val="000000" w:themeColor="text1"/>
                <w:sz w:val="20"/>
                <w:lang w:val="fr-CH"/>
              </w:rPr>
              <w:t>funds</w:t>
            </w:r>
            <w:proofErr w:type="spellEnd"/>
            <w:r w:rsidRPr="005E5973">
              <w:rPr>
                <w:rFonts w:ascii="Arial" w:hAnsi="Arial" w:cs="Arial"/>
                <w:color w:val="000000" w:themeColor="text1"/>
                <w:sz w:val="20"/>
                <w:lang w:val="fr-CH"/>
              </w:rPr>
              <w:t xml:space="preserve"> ne sont pas admis.</w:t>
            </w:r>
          </w:p>
          <w:p w14:paraId="054CEC92" w14:textId="463250C7" w:rsidR="00643E2A" w:rsidRPr="005E5973" w:rsidRDefault="00D04614" w:rsidP="006B16FD">
            <w:pPr>
              <w:numPr>
                <w:ilvl w:val="0"/>
                <w:numId w:val="24"/>
              </w:numPr>
              <w:rPr>
                <w:rFonts w:ascii="Arial" w:hAnsi="Arial" w:cs="Arial"/>
                <w:color w:val="000000" w:themeColor="text1"/>
                <w:sz w:val="20"/>
                <w:lang w:val="fr-CH"/>
              </w:rPr>
            </w:pPr>
            <w:r w:rsidRPr="005E5973">
              <w:rPr>
                <w:rFonts w:ascii="Arial" w:hAnsi="Arial" w:cs="Arial"/>
                <w:color w:val="000000" w:themeColor="text1"/>
                <w:sz w:val="20"/>
                <w:lang w:val="fr-CH"/>
              </w:rPr>
              <w:t>dans des instruments dérivés sont seulement autorisés à des fins de couverture.</w:t>
            </w:r>
          </w:p>
          <w:p w14:paraId="5CF8347C" w14:textId="24D4B55B" w:rsidR="00373CCD" w:rsidRPr="005E5973" w:rsidRDefault="00D04614" w:rsidP="00997FC2">
            <w:pPr>
              <w:numPr>
                <w:ilvl w:val="0"/>
                <w:numId w:val="24"/>
              </w:numPr>
              <w:pBdr>
                <w:top w:val="none" w:sz="0" w:space="2" w:color="FF0000" w:shadow="1"/>
                <w:left w:val="none" w:sz="0" w:space="2" w:color="FF0000" w:shadow="1"/>
                <w:bottom w:val="none" w:sz="0" w:space="2" w:color="FF0000" w:shadow="1"/>
                <w:right w:val="none" w:sz="0" w:space="2" w:color="FF0000" w:shadow="1"/>
              </w:pBdr>
              <w:rPr>
                <w:rFonts w:ascii="Arial" w:hAnsi="Arial" w:cs="Arial"/>
                <w:color w:val="000000" w:themeColor="text1"/>
                <w:sz w:val="20"/>
                <w:lang w:val="fr-CH"/>
              </w:rPr>
            </w:pPr>
            <w:r w:rsidRPr="005E5973">
              <w:rPr>
                <w:rFonts w:ascii="Arial" w:hAnsi="Arial" w:cs="Arial"/>
                <w:color w:val="000000" w:themeColor="text1"/>
                <w:sz w:val="20"/>
                <w:lang w:val="fr-CH"/>
              </w:rPr>
              <w:t>sont effectués principalement dans des titres individuels.</w:t>
            </w:r>
            <w:r w:rsidR="008C647A" w:rsidRPr="005E5973">
              <w:rPr>
                <w:rFonts w:ascii="Arial" w:hAnsi="Arial" w:cs="Arial"/>
                <w:color w:val="000000" w:themeColor="text1"/>
                <w:sz w:val="20"/>
                <w:lang w:val="fr-CH"/>
              </w:rPr>
              <w:t xml:space="preserve"> </w:t>
            </w:r>
            <w:r w:rsidR="002079BB" w:rsidRPr="005E5973">
              <w:rPr>
                <w:rFonts w:ascii="Arial" w:hAnsi="Arial" w:cs="Arial"/>
                <w:color w:val="000000" w:themeColor="text1"/>
                <w:sz w:val="20"/>
                <w:lang w:val="fr-CH"/>
              </w:rPr>
              <w:t>Pour des raisons de diversification</w:t>
            </w:r>
            <w:r w:rsidR="00123BE6" w:rsidRPr="005E5973">
              <w:rPr>
                <w:rFonts w:ascii="Arial" w:hAnsi="Arial" w:cs="Arial"/>
                <w:color w:val="000000" w:themeColor="text1"/>
                <w:sz w:val="20"/>
                <w:lang w:val="fr-CH"/>
              </w:rPr>
              <w:t xml:space="preserve"> et pour minimiser le risque</w:t>
            </w:r>
            <w:r w:rsidR="002079BB" w:rsidRPr="005E5973">
              <w:rPr>
                <w:rFonts w:ascii="Arial" w:hAnsi="Arial" w:cs="Arial"/>
                <w:color w:val="000000" w:themeColor="text1"/>
                <w:sz w:val="20"/>
                <w:lang w:val="fr-CH"/>
              </w:rPr>
              <w:t>, des placements collectifs peuvent être utilisés</w:t>
            </w:r>
            <w:r w:rsidR="00123BE6" w:rsidRPr="005E5973">
              <w:rPr>
                <w:rFonts w:ascii="Arial" w:hAnsi="Arial" w:cs="Arial"/>
                <w:color w:val="000000" w:themeColor="text1"/>
                <w:sz w:val="20"/>
                <w:lang w:val="fr-CH"/>
              </w:rPr>
              <w:t xml:space="preserve"> à titre complémentaire</w:t>
            </w:r>
            <w:r w:rsidR="002079BB" w:rsidRPr="005E5973">
              <w:rPr>
                <w:rFonts w:ascii="Arial" w:hAnsi="Arial" w:cs="Arial"/>
                <w:color w:val="000000" w:themeColor="text1"/>
                <w:sz w:val="20"/>
                <w:lang w:val="fr-CH"/>
              </w:rPr>
              <w:t>.</w:t>
            </w:r>
          </w:p>
        </w:tc>
      </w:tr>
      <w:tr w:rsidR="00E97F9B" w:rsidRPr="0042566D" w14:paraId="57276891" w14:textId="77777777" w:rsidTr="00123BE6">
        <w:trPr>
          <w:trHeight w:val="2119"/>
        </w:trPr>
        <w:tc>
          <w:tcPr>
            <w:tcW w:w="2548" w:type="dxa"/>
            <w:shd w:val="clear" w:color="auto" w:fill="auto"/>
          </w:tcPr>
          <w:p w14:paraId="4BE66A04" w14:textId="616F1703" w:rsidR="006C7B17" w:rsidRPr="005E5973" w:rsidRDefault="00A73258" w:rsidP="00997FC2">
            <w:pPr>
              <w:jc w:val="right"/>
              <w:rPr>
                <w:rFonts w:ascii="Arial" w:hAnsi="Arial" w:cs="Arial"/>
                <w:i/>
                <w:iCs/>
                <w:color w:val="00798C"/>
                <w:sz w:val="21"/>
                <w:szCs w:val="21"/>
                <w:shd w:val="clear" w:color="auto" w:fill="FFFFFF"/>
                <w:lang w:val="fr-CH"/>
              </w:rPr>
            </w:pPr>
            <w:bookmarkStart w:id="0" w:name="_GoBack"/>
            <w:bookmarkEnd w:id="0"/>
            <w:r w:rsidRPr="005E5973">
              <w:rPr>
                <w:rFonts w:ascii="Arial" w:hAnsi="Arial" w:cs="Arial"/>
                <w:i/>
                <w:iCs/>
                <w:color w:val="00798C"/>
                <w:sz w:val="21"/>
                <w:szCs w:val="21"/>
                <w:shd w:val="clear" w:color="auto" w:fill="FFFFFF"/>
                <w:lang w:val="fr-CH"/>
              </w:rPr>
              <w:lastRenderedPageBreak/>
              <w:t>Selon le volume des actifs financiers, d’autres points peuvent être consignés dans le règlement sur les placements, pour autant qu’ils ne soient pas déjà réglés autrement.</w:t>
            </w:r>
            <w:r w:rsidR="00EF03B4" w:rsidRPr="005E5973">
              <w:rPr>
                <w:rFonts w:ascii="Arial" w:hAnsi="Arial" w:cs="Arial"/>
                <w:i/>
                <w:iCs/>
                <w:color w:val="00798C"/>
                <w:sz w:val="21"/>
                <w:szCs w:val="21"/>
                <w:shd w:val="clear" w:color="auto" w:fill="FFFFFF"/>
                <w:lang w:val="fr-CH"/>
              </w:rPr>
              <w:t xml:space="preserve"> </w:t>
            </w:r>
          </w:p>
        </w:tc>
        <w:tc>
          <w:tcPr>
            <w:tcW w:w="7579" w:type="dxa"/>
            <w:shd w:val="clear" w:color="auto" w:fill="auto"/>
          </w:tcPr>
          <w:p w14:paraId="617DF704" w14:textId="154A8998" w:rsidR="006C7B17" w:rsidRPr="005E5973" w:rsidRDefault="002079BB" w:rsidP="00267463">
            <w:pPr>
              <w:tabs>
                <w:tab w:val="num" w:pos="851"/>
              </w:tabs>
              <w:rPr>
                <w:rFonts w:ascii="Arial" w:hAnsi="Arial" w:cs="Arial"/>
                <w:sz w:val="20"/>
                <w:lang w:val="fr-CH"/>
              </w:rPr>
            </w:pPr>
            <w:r w:rsidRPr="005E5973">
              <w:rPr>
                <w:rFonts w:ascii="Arial" w:hAnsi="Arial" w:cs="Arial"/>
                <w:sz w:val="20"/>
                <w:lang w:val="fr-CH"/>
              </w:rPr>
              <w:t>Pour la réalisation de la stratégie de placement, on dispose des moyens suivants:</w:t>
            </w:r>
          </w:p>
          <w:p w14:paraId="387A43F2" w14:textId="4FF697E2" w:rsidR="006C7B17" w:rsidRPr="005E5973" w:rsidRDefault="00D04614" w:rsidP="00D04614">
            <w:pPr>
              <w:numPr>
                <w:ilvl w:val="0"/>
                <w:numId w:val="26"/>
              </w:numPr>
              <w:rPr>
                <w:rFonts w:ascii="Arial" w:hAnsi="Arial" w:cs="Arial"/>
                <w:sz w:val="20"/>
                <w:lang w:val="fr-CH"/>
              </w:rPr>
            </w:pPr>
            <w:r w:rsidRPr="005E5973">
              <w:rPr>
                <w:rFonts w:ascii="Arial" w:hAnsi="Arial" w:cs="Arial"/>
                <w:sz w:val="20"/>
                <w:lang w:val="fr-CH"/>
              </w:rPr>
              <w:t>Une organisation relative aux placements et un règlement des compétences qui assurent un processus de décision efficace et structuré selon le principe du contrôle multiple</w:t>
            </w:r>
          </w:p>
          <w:p w14:paraId="458D7F8B" w14:textId="74514001" w:rsidR="00154261" w:rsidRPr="005E5973" w:rsidRDefault="00D04614" w:rsidP="00D04614">
            <w:pPr>
              <w:numPr>
                <w:ilvl w:val="0"/>
                <w:numId w:val="26"/>
              </w:numPr>
              <w:rPr>
                <w:rFonts w:ascii="Arial" w:hAnsi="Arial" w:cs="Arial"/>
                <w:sz w:val="20"/>
                <w:lang w:val="fr-CH"/>
              </w:rPr>
            </w:pPr>
            <w:r w:rsidRPr="005E5973">
              <w:rPr>
                <w:rFonts w:ascii="Arial" w:hAnsi="Arial" w:cs="Arial"/>
                <w:sz w:val="20"/>
                <w:lang w:val="fr-CH"/>
              </w:rPr>
              <w:t>Des instruments de planification et de surveillance, en particulier un plan de liquidités et des analyses périodiques des résultats des placements ainsi que de l’aptitude au risque.</w:t>
            </w:r>
            <w:r w:rsidR="00720417" w:rsidRPr="005E5973">
              <w:rPr>
                <w:rFonts w:ascii="Arial" w:hAnsi="Arial" w:cs="Arial"/>
                <w:sz w:val="20"/>
                <w:lang w:val="fr-CH"/>
              </w:rPr>
              <w:t xml:space="preserve"> </w:t>
            </w:r>
            <w:r w:rsidRPr="005E5973">
              <w:rPr>
                <w:rFonts w:ascii="Arial" w:hAnsi="Arial" w:cs="Arial"/>
                <w:sz w:val="20"/>
                <w:lang w:val="fr-CH"/>
              </w:rPr>
              <w:t>A l’aide de ces analyses, nous définissons les exigences relatives à la stratégie de placement et vérifions si les objectifs ont été atteints.</w:t>
            </w:r>
            <w:r w:rsidR="00720417" w:rsidRPr="005E5973">
              <w:rPr>
                <w:rFonts w:ascii="Arial" w:hAnsi="Arial" w:cs="Arial"/>
                <w:sz w:val="20"/>
                <w:lang w:val="fr-CH"/>
              </w:rPr>
              <w:t xml:space="preserve"> </w:t>
            </w:r>
          </w:p>
          <w:p w14:paraId="49B245AA" w14:textId="77777777" w:rsidR="00195ABF" w:rsidRPr="005E5973" w:rsidRDefault="00195ABF" w:rsidP="00267463">
            <w:pPr>
              <w:rPr>
                <w:rFonts w:ascii="Arial" w:hAnsi="Arial" w:cs="Arial"/>
                <w:sz w:val="20"/>
                <w:lang w:val="fr-CH"/>
              </w:rPr>
            </w:pPr>
          </w:p>
        </w:tc>
      </w:tr>
      <w:tr w:rsidR="003A2025" w:rsidRPr="005E5973" w14:paraId="30DE4CB1" w14:textId="77777777" w:rsidTr="00123BE6">
        <w:trPr>
          <w:trHeight w:val="652"/>
        </w:trPr>
        <w:tc>
          <w:tcPr>
            <w:tcW w:w="2548" w:type="dxa"/>
            <w:shd w:val="clear" w:color="auto" w:fill="auto"/>
          </w:tcPr>
          <w:p w14:paraId="1DE36C67" w14:textId="77777777" w:rsidR="006C7B17" w:rsidRPr="005E5973" w:rsidRDefault="006C7B17" w:rsidP="00267463">
            <w:pPr>
              <w:rPr>
                <w:rFonts w:ascii="Arial" w:hAnsi="Arial" w:cs="Arial"/>
                <w:i/>
                <w:iCs/>
                <w:color w:val="00798C"/>
                <w:sz w:val="20"/>
                <w:szCs w:val="20"/>
                <w:lang w:val="fr-CH"/>
              </w:rPr>
            </w:pPr>
          </w:p>
        </w:tc>
        <w:tc>
          <w:tcPr>
            <w:tcW w:w="7579" w:type="dxa"/>
            <w:shd w:val="clear" w:color="auto" w:fill="auto"/>
          </w:tcPr>
          <w:p w14:paraId="15715557" w14:textId="28E4EA78" w:rsidR="00EF03B4" w:rsidRPr="005E5973" w:rsidRDefault="002079BB" w:rsidP="00EF03B4">
            <w:pPr>
              <w:numPr>
                <w:ilvl w:val="0"/>
                <w:numId w:val="1"/>
              </w:numPr>
              <w:rPr>
                <w:rFonts w:ascii="Arial" w:hAnsi="Arial" w:cs="Arial"/>
                <w:b/>
                <w:sz w:val="20"/>
                <w:u w:val="single"/>
                <w:lang w:val="fr-CH"/>
              </w:rPr>
            </w:pPr>
            <w:r w:rsidRPr="005E5973">
              <w:rPr>
                <w:rFonts w:ascii="Arial" w:hAnsi="Arial" w:cs="Arial"/>
                <w:b/>
                <w:sz w:val="20"/>
                <w:u w:val="single"/>
                <w:lang w:val="fr-CH"/>
              </w:rPr>
              <w:t>Directives de placement</w:t>
            </w:r>
          </w:p>
          <w:p w14:paraId="4F520FD4" w14:textId="77777777" w:rsidR="00753959" w:rsidRPr="005E5973" w:rsidRDefault="00753959" w:rsidP="00753959">
            <w:pPr>
              <w:ind w:left="360"/>
              <w:rPr>
                <w:rFonts w:ascii="Arial" w:hAnsi="Arial" w:cs="Arial"/>
                <w:b/>
                <w:sz w:val="20"/>
                <w:u w:val="single"/>
                <w:lang w:val="fr-CH"/>
              </w:rPr>
            </w:pPr>
          </w:p>
          <w:p w14:paraId="37E3952A" w14:textId="58B58EC6" w:rsidR="006C7B17" w:rsidRPr="005E5973" w:rsidRDefault="002079BB" w:rsidP="00997FC2">
            <w:pPr>
              <w:rPr>
                <w:rFonts w:ascii="Arial" w:hAnsi="Arial" w:cs="Arial"/>
                <w:b/>
                <w:sz w:val="20"/>
                <w:u w:val="single"/>
                <w:lang w:val="fr-CH"/>
              </w:rPr>
            </w:pPr>
            <w:r w:rsidRPr="005E5973">
              <w:rPr>
                <w:rFonts w:ascii="Arial" w:hAnsi="Arial" w:cs="Arial"/>
                <w:b/>
                <w:sz w:val="20"/>
                <w:szCs w:val="18"/>
                <w:lang w:val="fr-CH"/>
              </w:rPr>
              <w:t>3.1. Consignes</w:t>
            </w:r>
          </w:p>
        </w:tc>
      </w:tr>
      <w:tr w:rsidR="003A2025" w:rsidRPr="0042566D" w14:paraId="62E9A094" w14:textId="77777777" w:rsidTr="00123BE6">
        <w:trPr>
          <w:trHeight w:val="875"/>
        </w:trPr>
        <w:tc>
          <w:tcPr>
            <w:tcW w:w="2548" w:type="dxa"/>
            <w:shd w:val="clear" w:color="auto" w:fill="auto"/>
          </w:tcPr>
          <w:p w14:paraId="3FDD551A" w14:textId="6B418BCC" w:rsidR="006C7B17" w:rsidRPr="005E5973" w:rsidRDefault="002079BB" w:rsidP="003D0B6C">
            <w:pPr>
              <w:jc w:val="right"/>
              <w:rPr>
                <w:rFonts w:ascii="Arial" w:hAnsi="Arial" w:cs="Arial"/>
                <w:i/>
                <w:iCs/>
                <w:color w:val="00798C"/>
                <w:sz w:val="21"/>
                <w:szCs w:val="21"/>
                <w:shd w:val="clear" w:color="auto" w:fill="FFFFFF"/>
                <w:lang w:val="fr-CH"/>
              </w:rPr>
            </w:pPr>
            <w:r w:rsidRPr="005E5973">
              <w:rPr>
                <w:rFonts w:ascii="Arial" w:hAnsi="Arial" w:cs="Arial"/>
                <w:i/>
                <w:iCs/>
                <w:color w:val="00798C"/>
                <w:sz w:val="21"/>
                <w:szCs w:val="21"/>
                <w:shd w:val="clear" w:color="auto" w:fill="FFFFFF"/>
                <w:lang w:val="fr-CH"/>
              </w:rPr>
              <w:t>Consignez le caractère contraignant des prescriptions.</w:t>
            </w:r>
          </w:p>
          <w:p w14:paraId="5B30F35F" w14:textId="0DF30A43" w:rsidR="003D0B6C" w:rsidRPr="005E5973" w:rsidRDefault="003D0B6C" w:rsidP="003D0B6C">
            <w:pPr>
              <w:jc w:val="center"/>
              <w:rPr>
                <w:rFonts w:ascii="Arial" w:hAnsi="Arial" w:cs="Arial"/>
                <w:i/>
                <w:iCs/>
                <w:color w:val="00798C"/>
                <w:sz w:val="20"/>
                <w:szCs w:val="18"/>
                <w:lang w:val="fr-CH"/>
              </w:rPr>
            </w:pPr>
          </w:p>
        </w:tc>
        <w:tc>
          <w:tcPr>
            <w:tcW w:w="7579" w:type="dxa"/>
            <w:shd w:val="clear" w:color="auto" w:fill="auto"/>
          </w:tcPr>
          <w:p w14:paraId="7FF571E1" w14:textId="585610A9" w:rsidR="00EE76CA" w:rsidRPr="005E5973" w:rsidRDefault="002079BB" w:rsidP="00EE76CA">
            <w:pPr>
              <w:rPr>
                <w:rFonts w:ascii="Arial" w:hAnsi="Arial" w:cs="Arial"/>
                <w:color w:val="000000" w:themeColor="text1"/>
                <w:sz w:val="20"/>
                <w:lang w:val="fr-CH"/>
              </w:rPr>
            </w:pPr>
            <w:r w:rsidRPr="005E5973">
              <w:rPr>
                <w:rFonts w:ascii="Arial" w:hAnsi="Arial" w:cs="Arial"/>
                <w:color w:val="000000" w:themeColor="text1"/>
                <w:sz w:val="20"/>
                <w:lang w:val="fr-CH"/>
              </w:rPr>
              <w:t>L’ensemble des consignes de placement légales, les directives du règlement, annexe comprise, ainsi que le principe de précaution, doivent être respectés en tout temps.</w:t>
            </w:r>
            <w:r w:rsidR="00EE76CA" w:rsidRPr="005E5973">
              <w:rPr>
                <w:rFonts w:ascii="Arial" w:hAnsi="Arial" w:cs="Arial"/>
                <w:color w:val="000000" w:themeColor="text1"/>
                <w:sz w:val="20"/>
                <w:lang w:val="fr-CH"/>
              </w:rPr>
              <w:t xml:space="preserve"> </w:t>
            </w:r>
          </w:p>
          <w:p w14:paraId="061EB3F0" w14:textId="77777777" w:rsidR="006C7B17" w:rsidRPr="005E5973" w:rsidRDefault="006C7B17" w:rsidP="00267463">
            <w:pPr>
              <w:rPr>
                <w:rFonts w:ascii="Arial" w:hAnsi="Arial" w:cs="Arial"/>
                <w:color w:val="000000" w:themeColor="text1"/>
                <w:sz w:val="20"/>
                <w:szCs w:val="16"/>
                <w:lang w:val="fr-CH"/>
              </w:rPr>
            </w:pPr>
          </w:p>
        </w:tc>
      </w:tr>
      <w:tr w:rsidR="003A2025" w:rsidRPr="0042566D" w14:paraId="7A99F05A" w14:textId="77777777" w:rsidTr="00123BE6">
        <w:trPr>
          <w:trHeight w:val="2329"/>
        </w:trPr>
        <w:tc>
          <w:tcPr>
            <w:tcW w:w="2548" w:type="dxa"/>
            <w:shd w:val="clear" w:color="auto" w:fill="auto"/>
          </w:tcPr>
          <w:p w14:paraId="56F9B262" w14:textId="77777777" w:rsidR="00753959" w:rsidRPr="005E5973" w:rsidRDefault="00753959" w:rsidP="005152FA">
            <w:pPr>
              <w:jc w:val="right"/>
              <w:rPr>
                <w:rFonts w:ascii="Arial" w:hAnsi="Arial" w:cs="Arial"/>
                <w:i/>
                <w:iCs/>
                <w:color w:val="00798C"/>
                <w:sz w:val="21"/>
                <w:szCs w:val="21"/>
                <w:shd w:val="clear" w:color="auto" w:fill="FFFFFF"/>
                <w:lang w:val="fr-CH"/>
              </w:rPr>
            </w:pPr>
          </w:p>
          <w:p w14:paraId="62FBEE9B" w14:textId="25942444" w:rsidR="006C7B17" w:rsidRPr="005E5973" w:rsidRDefault="002079BB" w:rsidP="005152FA">
            <w:pPr>
              <w:jc w:val="right"/>
              <w:rPr>
                <w:rFonts w:ascii="Arial" w:hAnsi="Arial" w:cs="Arial"/>
                <w:i/>
                <w:iCs/>
                <w:color w:val="00798C"/>
                <w:sz w:val="21"/>
                <w:szCs w:val="21"/>
                <w:shd w:val="clear" w:color="auto" w:fill="FFFFFF"/>
                <w:lang w:val="fr-CH"/>
              </w:rPr>
            </w:pPr>
            <w:r w:rsidRPr="005E5973">
              <w:rPr>
                <w:rFonts w:ascii="Arial" w:hAnsi="Arial" w:cs="Arial"/>
                <w:i/>
                <w:iCs/>
                <w:color w:val="00798C"/>
                <w:sz w:val="21"/>
                <w:szCs w:val="21"/>
                <w:shd w:val="clear" w:color="auto" w:fill="FFFFFF"/>
                <w:lang w:val="fr-CH"/>
              </w:rPr>
              <w:t>Faites approuver la stratégie et les marges tactiques par l’organe directeur suprême.</w:t>
            </w:r>
            <w:r w:rsidR="00736BEF" w:rsidRPr="005E5973">
              <w:rPr>
                <w:rFonts w:ascii="Arial" w:hAnsi="Arial" w:cs="Arial"/>
                <w:i/>
                <w:iCs/>
                <w:color w:val="00798C"/>
                <w:sz w:val="21"/>
                <w:szCs w:val="21"/>
                <w:shd w:val="clear" w:color="auto" w:fill="FFFFFF"/>
                <w:lang w:val="fr-CH"/>
              </w:rPr>
              <w:t xml:space="preserve"> </w:t>
            </w:r>
            <w:r w:rsidRPr="005E5973">
              <w:rPr>
                <w:rFonts w:ascii="Arial" w:hAnsi="Arial" w:cs="Arial"/>
                <w:i/>
                <w:iCs/>
                <w:color w:val="00798C"/>
                <w:sz w:val="21"/>
                <w:szCs w:val="21"/>
                <w:shd w:val="clear" w:color="auto" w:fill="FFFFFF"/>
                <w:lang w:val="fr-CH"/>
              </w:rPr>
              <w:t>Il assume en dernier recours la responsabilité des placements de votre organisation.</w:t>
            </w:r>
          </w:p>
          <w:p w14:paraId="37C235EB" w14:textId="309E3CDD" w:rsidR="003D0B6C" w:rsidRPr="005E5973" w:rsidRDefault="003D0B6C" w:rsidP="005152FA">
            <w:pPr>
              <w:jc w:val="right"/>
              <w:rPr>
                <w:rFonts w:ascii="Arial" w:hAnsi="Arial" w:cs="Arial"/>
                <w:i/>
                <w:iCs/>
                <w:color w:val="00798C"/>
                <w:sz w:val="20"/>
                <w:szCs w:val="18"/>
                <w:lang w:val="fr-CH"/>
              </w:rPr>
            </w:pPr>
          </w:p>
        </w:tc>
        <w:tc>
          <w:tcPr>
            <w:tcW w:w="7579" w:type="dxa"/>
            <w:shd w:val="clear" w:color="auto" w:fill="auto"/>
          </w:tcPr>
          <w:p w14:paraId="309B3E48" w14:textId="31716E0D" w:rsidR="00EF03B4" w:rsidRPr="005E5973" w:rsidRDefault="002079BB" w:rsidP="0068264B">
            <w:pPr>
              <w:rPr>
                <w:rFonts w:ascii="Arial" w:hAnsi="Arial" w:cs="Arial"/>
                <w:b/>
                <w:color w:val="000000" w:themeColor="text1"/>
                <w:sz w:val="20"/>
                <w:lang w:val="fr-CH"/>
              </w:rPr>
            </w:pPr>
            <w:r w:rsidRPr="005E5973">
              <w:rPr>
                <w:rFonts w:ascii="Arial" w:hAnsi="Arial" w:cs="Arial"/>
                <w:b/>
                <w:sz w:val="20"/>
                <w:szCs w:val="18"/>
                <w:lang w:val="fr-CH"/>
              </w:rPr>
              <w:t>3.2. Structure stratégique des actifs à titre de concrétisation</w:t>
            </w:r>
          </w:p>
          <w:p w14:paraId="4EB115B0" w14:textId="3A2DBD8D" w:rsidR="006C7B17" w:rsidRPr="005E5973" w:rsidRDefault="002079BB" w:rsidP="00997FC2">
            <w:pPr>
              <w:rPr>
                <w:rFonts w:ascii="Arial" w:hAnsi="Arial" w:cs="Arial"/>
                <w:color w:val="000000" w:themeColor="text1"/>
                <w:sz w:val="20"/>
                <w:lang w:val="fr-CH"/>
              </w:rPr>
            </w:pPr>
            <w:r w:rsidRPr="005E5973">
              <w:rPr>
                <w:rFonts w:ascii="Arial" w:hAnsi="Arial" w:cs="Arial"/>
                <w:color w:val="000000" w:themeColor="text1"/>
                <w:sz w:val="20"/>
                <w:lang w:val="fr-CH"/>
              </w:rPr>
              <w:t>Les directives de placement sont concrétisées sous la forme d’une structure des actifs à viser sur le long terme.</w:t>
            </w:r>
            <w:r w:rsidR="00382EFB" w:rsidRPr="005E5973">
              <w:rPr>
                <w:rFonts w:ascii="Arial" w:hAnsi="Arial" w:cs="Arial"/>
                <w:color w:val="000000" w:themeColor="text1"/>
                <w:sz w:val="20"/>
                <w:lang w:val="fr-CH"/>
              </w:rPr>
              <w:t xml:space="preserve"> </w:t>
            </w:r>
            <w:r w:rsidRPr="005E5973">
              <w:rPr>
                <w:rFonts w:ascii="Arial" w:hAnsi="Arial" w:cs="Arial"/>
                <w:color w:val="000000" w:themeColor="text1"/>
                <w:sz w:val="20"/>
                <w:lang w:val="fr-CH"/>
              </w:rPr>
              <w:t>Lors de la fixation de la structure stratégique des actifs, l’organe directeur suprême de notre organisation tient compte de l’aptitude au risque d’investissements ainsi que les caractéristiques de rendement et de risque à long terme des différentes catégories de placements.</w:t>
            </w:r>
            <w:r w:rsidR="00736BEF" w:rsidRPr="005E5973">
              <w:rPr>
                <w:rFonts w:ascii="Arial" w:hAnsi="Arial" w:cs="Arial"/>
                <w:color w:val="000000" w:themeColor="text1"/>
                <w:sz w:val="20"/>
                <w:lang w:val="fr-CH"/>
              </w:rPr>
              <w:t xml:space="preserve"> </w:t>
            </w:r>
            <w:r w:rsidRPr="005E5973">
              <w:rPr>
                <w:rFonts w:ascii="Arial" w:hAnsi="Arial" w:cs="Arial"/>
                <w:color w:val="000000" w:themeColor="text1"/>
                <w:sz w:val="20"/>
                <w:lang w:val="fr-CH"/>
              </w:rPr>
              <w:t>Les prescriptions actuellement en vigueur qui ont été adoptées par l’organe directeur suprême de notre organisation sont consignées à l’annexe 1 «Structure stratégique des actifs et fourchettes».</w:t>
            </w:r>
            <w:r w:rsidR="00736BEF" w:rsidRPr="005E5973">
              <w:rPr>
                <w:rFonts w:ascii="Arial" w:hAnsi="Arial" w:cs="Arial"/>
                <w:color w:val="000000" w:themeColor="text1"/>
                <w:sz w:val="20"/>
                <w:lang w:val="fr-CH"/>
              </w:rPr>
              <w:t xml:space="preserve"> </w:t>
            </w:r>
            <w:r w:rsidR="006C7B17" w:rsidRPr="005E5973">
              <w:rPr>
                <w:rFonts w:ascii="Arial" w:hAnsi="Arial" w:cs="Arial"/>
                <w:color w:val="000000" w:themeColor="text1"/>
                <w:sz w:val="20"/>
                <w:lang w:val="fr-CH"/>
              </w:rPr>
              <w:br/>
            </w:r>
          </w:p>
        </w:tc>
      </w:tr>
      <w:tr w:rsidR="003A2025" w:rsidRPr="0042566D" w14:paraId="54D7FA16" w14:textId="77777777" w:rsidTr="00123BE6">
        <w:trPr>
          <w:trHeight w:val="1098"/>
        </w:trPr>
        <w:tc>
          <w:tcPr>
            <w:tcW w:w="2548" w:type="dxa"/>
            <w:shd w:val="clear" w:color="auto" w:fill="auto"/>
          </w:tcPr>
          <w:p w14:paraId="7EA6B0B7" w14:textId="77777777" w:rsidR="006C7B17" w:rsidRPr="005E5973" w:rsidRDefault="006C7B17" w:rsidP="00267463">
            <w:pPr>
              <w:jc w:val="right"/>
              <w:rPr>
                <w:rFonts w:ascii="Arial" w:hAnsi="Arial" w:cs="Arial"/>
                <w:i/>
                <w:iCs/>
                <w:color w:val="00798C"/>
                <w:sz w:val="20"/>
                <w:szCs w:val="18"/>
                <w:lang w:val="fr-CH"/>
              </w:rPr>
            </w:pPr>
          </w:p>
        </w:tc>
        <w:tc>
          <w:tcPr>
            <w:tcW w:w="7579" w:type="dxa"/>
            <w:shd w:val="clear" w:color="auto" w:fill="auto"/>
          </w:tcPr>
          <w:p w14:paraId="5BD65EC8" w14:textId="73DA30FC" w:rsidR="00EF03B4" w:rsidRPr="005E5973" w:rsidRDefault="002079BB" w:rsidP="00267463">
            <w:pPr>
              <w:rPr>
                <w:rFonts w:ascii="Arial" w:hAnsi="Arial" w:cs="Arial"/>
                <w:b/>
                <w:color w:val="000000" w:themeColor="text1"/>
                <w:sz w:val="20"/>
                <w:lang w:val="fr-CH"/>
              </w:rPr>
            </w:pPr>
            <w:r w:rsidRPr="005E5973">
              <w:rPr>
                <w:rFonts w:ascii="Arial" w:hAnsi="Arial" w:cs="Arial"/>
                <w:b/>
                <w:sz w:val="20"/>
                <w:szCs w:val="18"/>
                <w:lang w:val="fr-CH"/>
              </w:rPr>
              <w:t>3.3. Fourchettes tactiques</w:t>
            </w:r>
          </w:p>
          <w:p w14:paraId="75FD95AF" w14:textId="0A4E8664" w:rsidR="006C7B17" w:rsidRPr="005E5973" w:rsidRDefault="002079BB" w:rsidP="00267463">
            <w:pPr>
              <w:rPr>
                <w:rFonts w:ascii="Arial" w:hAnsi="Arial" w:cs="Arial"/>
                <w:color w:val="000000" w:themeColor="text1"/>
                <w:sz w:val="20"/>
                <w:lang w:val="fr-CH"/>
              </w:rPr>
            </w:pPr>
            <w:r w:rsidRPr="005E5973">
              <w:rPr>
                <w:rFonts w:ascii="Arial" w:hAnsi="Arial" w:cs="Arial"/>
                <w:color w:val="000000" w:themeColor="text1"/>
                <w:sz w:val="20"/>
                <w:lang w:val="fr-CH"/>
              </w:rPr>
              <w:t>Afin que les opportunités du marché puissent être saisies, des fourchettes tactiques sont définies.</w:t>
            </w:r>
            <w:r w:rsidR="006C7B17" w:rsidRPr="005E5973">
              <w:rPr>
                <w:rFonts w:ascii="Arial" w:hAnsi="Arial" w:cs="Arial"/>
                <w:color w:val="000000" w:themeColor="text1"/>
                <w:sz w:val="20"/>
                <w:lang w:val="fr-CH"/>
              </w:rPr>
              <w:t xml:space="preserve"> </w:t>
            </w:r>
            <w:r w:rsidRPr="005E5973">
              <w:rPr>
                <w:rFonts w:ascii="Arial" w:hAnsi="Arial" w:cs="Arial"/>
                <w:color w:val="000000" w:themeColor="text1"/>
                <w:sz w:val="20"/>
                <w:lang w:val="fr-CH"/>
              </w:rPr>
              <w:t>Dans le cadre de ces fourchettes, il est possible de s’écarter de la structure stratégique des actifs.</w:t>
            </w:r>
          </w:p>
          <w:p w14:paraId="49FEF3B3" w14:textId="77777777" w:rsidR="003D0B6C" w:rsidRPr="005E5973" w:rsidRDefault="003D0B6C" w:rsidP="00267463">
            <w:pPr>
              <w:rPr>
                <w:rFonts w:ascii="Arial" w:hAnsi="Arial" w:cs="Arial"/>
                <w:color w:val="000000" w:themeColor="text1"/>
                <w:sz w:val="16"/>
                <w:szCs w:val="16"/>
                <w:lang w:val="fr-CH"/>
              </w:rPr>
            </w:pPr>
          </w:p>
        </w:tc>
      </w:tr>
      <w:tr w:rsidR="003A2025" w:rsidRPr="0042566D" w14:paraId="186E52A3" w14:textId="77777777" w:rsidTr="00123BE6">
        <w:trPr>
          <w:trHeight w:val="2063"/>
        </w:trPr>
        <w:tc>
          <w:tcPr>
            <w:tcW w:w="2548" w:type="dxa"/>
            <w:shd w:val="clear" w:color="auto" w:fill="auto"/>
          </w:tcPr>
          <w:p w14:paraId="1C645190" w14:textId="7F1B9E8A" w:rsidR="003D0B6C" w:rsidRPr="005E5973" w:rsidRDefault="002079BB" w:rsidP="003D0B6C">
            <w:pPr>
              <w:spacing w:before="200"/>
              <w:jc w:val="right"/>
              <w:rPr>
                <w:rFonts w:ascii="Arial" w:hAnsi="Arial" w:cs="Arial"/>
                <w:i/>
                <w:iCs/>
                <w:color w:val="00798C"/>
                <w:sz w:val="21"/>
                <w:szCs w:val="21"/>
                <w:shd w:val="clear" w:color="auto" w:fill="FFFFFF"/>
                <w:lang w:val="fr-CH"/>
              </w:rPr>
            </w:pPr>
            <w:r w:rsidRPr="005E5973">
              <w:rPr>
                <w:rFonts w:ascii="Arial" w:hAnsi="Arial" w:cs="Arial"/>
                <w:i/>
                <w:iCs/>
                <w:color w:val="00798C"/>
                <w:sz w:val="21"/>
                <w:szCs w:val="21"/>
                <w:shd w:val="clear" w:color="auto" w:fill="FFFFFF"/>
                <w:lang w:val="fr-CH"/>
              </w:rPr>
              <w:t>Réfléchissez aux réserves nécessaires à titre maximal pour compenser les fluctuations des cours et indiquez-les en toute transparence.</w:t>
            </w:r>
          </w:p>
          <w:p w14:paraId="6BE4411A" w14:textId="77777777" w:rsidR="006C7B17" w:rsidRPr="005E5973" w:rsidRDefault="006C7B17" w:rsidP="00EF03B4">
            <w:pPr>
              <w:pStyle w:val="Listenabsatz"/>
              <w:ind w:left="390"/>
              <w:rPr>
                <w:rFonts w:ascii="Arial" w:hAnsi="Arial" w:cs="Arial"/>
                <w:i/>
                <w:iCs/>
                <w:color w:val="00798C"/>
                <w:sz w:val="20"/>
                <w:szCs w:val="18"/>
                <w:lang w:val="fr-CH"/>
              </w:rPr>
            </w:pPr>
          </w:p>
        </w:tc>
        <w:tc>
          <w:tcPr>
            <w:tcW w:w="7579" w:type="dxa"/>
            <w:shd w:val="clear" w:color="auto" w:fill="auto"/>
          </w:tcPr>
          <w:p w14:paraId="2EA26FC4" w14:textId="1C06D43C" w:rsidR="00EF03B4" w:rsidRPr="005E5973" w:rsidRDefault="002079BB" w:rsidP="00154261">
            <w:pPr>
              <w:rPr>
                <w:rFonts w:ascii="Arial" w:hAnsi="Arial" w:cs="Arial"/>
                <w:b/>
                <w:color w:val="000000" w:themeColor="text1"/>
                <w:sz w:val="20"/>
                <w:lang w:val="fr-CH"/>
              </w:rPr>
            </w:pPr>
            <w:r w:rsidRPr="005E5973">
              <w:rPr>
                <w:rFonts w:ascii="Arial" w:hAnsi="Arial" w:cs="Arial"/>
                <w:b/>
                <w:sz w:val="20"/>
                <w:szCs w:val="18"/>
                <w:lang w:val="fr-CH"/>
              </w:rPr>
              <w:t>3.4. Réserves de fluctuation de valeur</w:t>
            </w:r>
          </w:p>
          <w:p w14:paraId="391A10D8" w14:textId="5AA0DB6C" w:rsidR="006C7B17" w:rsidRPr="005E5973" w:rsidRDefault="002079BB" w:rsidP="00017EE8">
            <w:pPr>
              <w:rPr>
                <w:rFonts w:ascii="Arial" w:hAnsi="Arial" w:cs="Arial"/>
                <w:color w:val="000000" w:themeColor="text1"/>
                <w:sz w:val="20"/>
                <w:lang w:val="fr-CH"/>
              </w:rPr>
            </w:pPr>
            <w:r w:rsidRPr="005E5973">
              <w:rPr>
                <w:rFonts w:ascii="Arial" w:hAnsi="Arial" w:cs="Arial"/>
                <w:color w:val="000000" w:themeColor="text1"/>
                <w:sz w:val="20"/>
                <w:lang w:val="fr-CH"/>
              </w:rPr>
              <w:t>Pour la compensation des fluctuations de valeur, des réserves peuvent être formées.</w:t>
            </w:r>
            <w:r w:rsidR="00736BEF" w:rsidRPr="005E5973">
              <w:rPr>
                <w:rFonts w:ascii="Arial" w:hAnsi="Arial" w:cs="Arial"/>
                <w:color w:val="000000" w:themeColor="text1"/>
                <w:sz w:val="20"/>
                <w:lang w:val="fr-CH"/>
              </w:rPr>
              <w:t xml:space="preserve"> </w:t>
            </w:r>
            <w:r w:rsidRPr="005E5973">
              <w:rPr>
                <w:rFonts w:ascii="Arial" w:hAnsi="Arial" w:cs="Arial"/>
                <w:color w:val="000000" w:themeColor="text1"/>
                <w:sz w:val="20"/>
                <w:lang w:val="fr-CH"/>
              </w:rPr>
              <w:t>Leur formation et leur dissolution relèvent de la responsabilité de l’organe directeur suprême.</w:t>
            </w:r>
            <w:r w:rsidR="00736BEF" w:rsidRPr="005E5973">
              <w:rPr>
                <w:rFonts w:ascii="Arial" w:hAnsi="Arial" w:cs="Arial"/>
                <w:color w:val="000000" w:themeColor="text1"/>
                <w:sz w:val="20"/>
                <w:lang w:val="fr-CH"/>
              </w:rPr>
              <w:t xml:space="preserve"> </w:t>
            </w:r>
            <w:r w:rsidRPr="005E5973">
              <w:rPr>
                <w:rFonts w:ascii="Arial" w:hAnsi="Arial" w:cs="Arial"/>
                <w:color w:val="000000" w:themeColor="text1"/>
                <w:sz w:val="20"/>
                <w:lang w:val="fr-CH"/>
              </w:rPr>
              <w:t xml:space="preserve">Les réserves de fluctuation de valeur sont indiquées, conformément aux prescriptions de </w:t>
            </w:r>
            <w:proofErr w:type="spellStart"/>
            <w:r w:rsidRPr="005E5973">
              <w:rPr>
                <w:rFonts w:ascii="Arial" w:hAnsi="Arial" w:cs="Arial"/>
                <w:color w:val="000000" w:themeColor="text1"/>
                <w:sz w:val="20"/>
                <w:lang w:val="fr-CH"/>
              </w:rPr>
              <w:t>Swiss</w:t>
            </w:r>
            <w:proofErr w:type="spellEnd"/>
            <w:r w:rsidRPr="005E5973">
              <w:rPr>
                <w:rFonts w:ascii="Arial" w:hAnsi="Arial" w:cs="Arial"/>
                <w:color w:val="000000" w:themeColor="text1"/>
                <w:sz w:val="20"/>
                <w:lang w:val="fr-CH"/>
              </w:rPr>
              <w:t xml:space="preserve"> GAAP RPC 21, dans les comptes annuels au titre du capital de l’organisation.</w:t>
            </w:r>
            <w:r w:rsidR="005152FA" w:rsidRPr="005E5973">
              <w:rPr>
                <w:rFonts w:ascii="Arial" w:hAnsi="Arial" w:cs="Arial"/>
                <w:color w:val="000000" w:themeColor="text1"/>
                <w:sz w:val="20"/>
                <w:lang w:val="fr-CH"/>
              </w:rPr>
              <w:t xml:space="preserve"> </w:t>
            </w:r>
            <w:r w:rsidRPr="005E5973">
              <w:rPr>
                <w:rFonts w:ascii="Arial" w:hAnsi="Arial" w:cs="Arial"/>
                <w:color w:val="000000" w:themeColor="text1"/>
                <w:sz w:val="20"/>
                <w:lang w:val="fr-CH"/>
              </w:rPr>
              <w:t>La réserve de fluctuation de valeur maximale est réglée à l’annexe 4.</w:t>
            </w:r>
            <w:r w:rsidR="00736BEF" w:rsidRPr="005E5973">
              <w:rPr>
                <w:rFonts w:ascii="Arial" w:hAnsi="Arial" w:cs="Arial"/>
                <w:color w:val="000000" w:themeColor="text1"/>
                <w:sz w:val="20"/>
                <w:lang w:val="fr-CH"/>
              </w:rPr>
              <w:t xml:space="preserve"> </w:t>
            </w:r>
            <w:r w:rsidR="00736BEF" w:rsidRPr="005E5973">
              <w:rPr>
                <w:rFonts w:ascii="Arial" w:hAnsi="Arial" w:cs="Arial"/>
                <w:color w:val="000000" w:themeColor="text1"/>
                <w:sz w:val="20"/>
                <w:lang w:val="fr-CH"/>
              </w:rPr>
              <w:br/>
            </w:r>
          </w:p>
          <w:p w14:paraId="3804F6ED" w14:textId="77777777" w:rsidR="00567EB3" w:rsidRPr="005E5973" w:rsidRDefault="00567EB3" w:rsidP="00017EE8">
            <w:pPr>
              <w:rPr>
                <w:rFonts w:ascii="Arial" w:hAnsi="Arial" w:cs="Arial"/>
                <w:color w:val="000000" w:themeColor="text1"/>
                <w:sz w:val="20"/>
                <w:lang w:val="fr-CH"/>
              </w:rPr>
            </w:pPr>
          </w:p>
          <w:p w14:paraId="28A68CA5" w14:textId="4DB97DDE" w:rsidR="00567EB3" w:rsidRPr="005E5973" w:rsidRDefault="00567EB3" w:rsidP="00017EE8">
            <w:pPr>
              <w:rPr>
                <w:rFonts w:ascii="Arial" w:hAnsi="Arial" w:cs="Arial"/>
                <w:color w:val="000000" w:themeColor="text1"/>
                <w:sz w:val="20"/>
                <w:lang w:val="fr-CH"/>
              </w:rPr>
            </w:pPr>
          </w:p>
        </w:tc>
      </w:tr>
      <w:tr w:rsidR="003A2025" w:rsidRPr="005E5973" w14:paraId="0C0FC671" w14:textId="77777777" w:rsidTr="00123BE6">
        <w:tc>
          <w:tcPr>
            <w:tcW w:w="2548" w:type="dxa"/>
            <w:shd w:val="clear" w:color="auto" w:fill="auto"/>
          </w:tcPr>
          <w:p w14:paraId="5B64EFA2" w14:textId="77777777" w:rsidR="006C7B17" w:rsidRPr="005E5973" w:rsidRDefault="006C7B17" w:rsidP="00267463">
            <w:pPr>
              <w:rPr>
                <w:rFonts w:ascii="Arial" w:hAnsi="Arial" w:cs="Arial"/>
                <w:i/>
                <w:iCs/>
                <w:color w:val="00798C"/>
                <w:sz w:val="20"/>
                <w:szCs w:val="20"/>
                <w:lang w:val="fr-CH"/>
              </w:rPr>
            </w:pPr>
          </w:p>
        </w:tc>
        <w:tc>
          <w:tcPr>
            <w:tcW w:w="7579" w:type="dxa"/>
            <w:shd w:val="clear" w:color="auto" w:fill="auto"/>
          </w:tcPr>
          <w:p w14:paraId="6A590EC7" w14:textId="2259A24D" w:rsidR="00753959" w:rsidRPr="005E5973" w:rsidRDefault="002079BB" w:rsidP="00753959">
            <w:pPr>
              <w:numPr>
                <w:ilvl w:val="0"/>
                <w:numId w:val="1"/>
              </w:numPr>
              <w:rPr>
                <w:rFonts w:ascii="Arial" w:hAnsi="Arial" w:cs="Arial"/>
                <w:b/>
                <w:color w:val="000000" w:themeColor="text1"/>
                <w:sz w:val="20"/>
                <w:u w:val="single"/>
                <w:lang w:val="fr-CH"/>
              </w:rPr>
            </w:pPr>
            <w:r w:rsidRPr="005E5973">
              <w:rPr>
                <w:rFonts w:ascii="Arial" w:hAnsi="Arial" w:cs="Arial"/>
                <w:b/>
                <w:color w:val="000000" w:themeColor="text1"/>
                <w:sz w:val="20"/>
                <w:u w:val="single"/>
                <w:lang w:val="fr-CH"/>
              </w:rPr>
              <w:t>Tâches et compétences</w:t>
            </w:r>
            <w:r w:rsidR="00753959" w:rsidRPr="005E5973">
              <w:rPr>
                <w:rFonts w:ascii="Arial" w:hAnsi="Arial" w:cs="Arial"/>
                <w:b/>
                <w:color w:val="000000" w:themeColor="text1"/>
                <w:sz w:val="20"/>
                <w:u w:val="single"/>
                <w:lang w:val="fr-CH"/>
              </w:rPr>
              <w:t xml:space="preserve"> </w:t>
            </w:r>
          </w:p>
          <w:p w14:paraId="168BCBA2" w14:textId="70683F80" w:rsidR="00753959" w:rsidRPr="005E5973" w:rsidRDefault="00753959" w:rsidP="00753959">
            <w:pPr>
              <w:ind w:left="360"/>
              <w:rPr>
                <w:rFonts w:ascii="Arial" w:hAnsi="Arial" w:cs="Arial"/>
                <w:b/>
                <w:color w:val="000000" w:themeColor="text1"/>
                <w:sz w:val="20"/>
                <w:u w:val="single"/>
                <w:lang w:val="fr-CH"/>
              </w:rPr>
            </w:pPr>
          </w:p>
        </w:tc>
      </w:tr>
      <w:tr w:rsidR="003A2025" w:rsidRPr="0042566D" w14:paraId="7BC3BC7A" w14:textId="77777777" w:rsidTr="00123BE6">
        <w:trPr>
          <w:trHeight w:val="1546"/>
        </w:trPr>
        <w:tc>
          <w:tcPr>
            <w:tcW w:w="2548" w:type="dxa"/>
            <w:shd w:val="clear" w:color="auto" w:fill="auto"/>
          </w:tcPr>
          <w:p w14:paraId="543CA68E" w14:textId="73F13DA2" w:rsidR="006C7B17" w:rsidRPr="005E5973" w:rsidRDefault="002079BB" w:rsidP="00997FC2">
            <w:pPr>
              <w:spacing w:before="220"/>
              <w:jc w:val="right"/>
              <w:rPr>
                <w:rFonts w:ascii="Arial" w:hAnsi="Arial" w:cs="Arial"/>
                <w:i/>
                <w:iCs/>
                <w:color w:val="00798C"/>
                <w:sz w:val="20"/>
                <w:szCs w:val="18"/>
                <w:lang w:val="fr-CH"/>
              </w:rPr>
            </w:pPr>
            <w:r w:rsidRPr="005E5973">
              <w:rPr>
                <w:rFonts w:ascii="Arial" w:hAnsi="Arial" w:cs="Arial"/>
                <w:i/>
                <w:iCs/>
                <w:color w:val="00798C"/>
                <w:sz w:val="21"/>
                <w:szCs w:val="21"/>
                <w:shd w:val="clear" w:color="auto" w:fill="FFFFFF"/>
                <w:lang w:val="fr-CH"/>
              </w:rPr>
              <w:t>Définissez les compétences si ce n’a pas été déjà fait ailleurs.</w:t>
            </w:r>
          </w:p>
        </w:tc>
        <w:tc>
          <w:tcPr>
            <w:tcW w:w="7579" w:type="dxa"/>
            <w:shd w:val="clear" w:color="auto" w:fill="auto"/>
          </w:tcPr>
          <w:p w14:paraId="35CE76B2" w14:textId="2647D2D1" w:rsidR="007E723F" w:rsidRPr="005E5973" w:rsidRDefault="002079BB" w:rsidP="00267463">
            <w:pPr>
              <w:rPr>
                <w:rFonts w:ascii="Arial" w:hAnsi="Arial" w:cs="Arial"/>
                <w:b/>
                <w:color w:val="000000" w:themeColor="text1"/>
                <w:sz w:val="20"/>
                <w:lang w:val="fr-CH"/>
              </w:rPr>
            </w:pPr>
            <w:r w:rsidRPr="005E5973">
              <w:rPr>
                <w:rFonts w:ascii="Arial" w:hAnsi="Arial" w:cs="Arial"/>
                <w:b/>
                <w:sz w:val="20"/>
                <w:szCs w:val="18"/>
                <w:lang w:val="fr-CH"/>
              </w:rPr>
              <w:t>4.1 Responsabilité de gestion</w:t>
            </w:r>
          </w:p>
          <w:p w14:paraId="4CAC4DB9" w14:textId="358FE570" w:rsidR="006C7B17" w:rsidRPr="005E5973" w:rsidRDefault="002079BB" w:rsidP="00267463">
            <w:pPr>
              <w:rPr>
                <w:rFonts w:ascii="Arial" w:hAnsi="Arial" w:cs="Arial"/>
                <w:color w:val="000000" w:themeColor="text1"/>
                <w:sz w:val="20"/>
                <w:lang w:val="fr-CH"/>
              </w:rPr>
            </w:pPr>
            <w:r w:rsidRPr="005E5973">
              <w:rPr>
                <w:rFonts w:ascii="Arial" w:hAnsi="Arial" w:cs="Arial"/>
                <w:color w:val="000000" w:themeColor="text1"/>
                <w:sz w:val="20"/>
                <w:lang w:val="fr-CH"/>
              </w:rPr>
              <w:t>L’organisation de la gestion dans le domaine de l’activité de placement englobe les deux niveaux suivants.</w:t>
            </w:r>
            <w:r w:rsidR="007E723F" w:rsidRPr="005E5973">
              <w:rPr>
                <w:rFonts w:ascii="Arial" w:hAnsi="Arial" w:cs="Arial"/>
                <w:color w:val="000000" w:themeColor="text1"/>
                <w:sz w:val="20"/>
                <w:lang w:val="fr-CH"/>
              </w:rPr>
              <w:br/>
            </w:r>
            <w:r w:rsidRPr="005E5973">
              <w:rPr>
                <w:rFonts w:ascii="Arial" w:hAnsi="Arial" w:cs="Arial"/>
                <w:color w:val="000000" w:themeColor="text1"/>
                <w:sz w:val="20"/>
                <w:lang w:val="fr-CH"/>
              </w:rPr>
              <w:t>1) Niveau stratégique:</w:t>
            </w:r>
            <w:r w:rsidR="007E723F" w:rsidRPr="005E5973">
              <w:rPr>
                <w:rFonts w:ascii="Arial" w:hAnsi="Arial" w:cs="Arial"/>
                <w:color w:val="000000" w:themeColor="text1"/>
                <w:sz w:val="20"/>
                <w:lang w:val="fr-CH"/>
              </w:rPr>
              <w:t xml:space="preserve"> </w:t>
            </w:r>
            <w:r w:rsidRPr="005E5973">
              <w:rPr>
                <w:rFonts w:ascii="Arial" w:hAnsi="Arial" w:cs="Arial"/>
                <w:color w:val="000000" w:themeColor="text1"/>
                <w:sz w:val="20"/>
                <w:lang w:val="fr-CH"/>
              </w:rPr>
              <w:t>membres de l’organe directeur suprême</w:t>
            </w:r>
            <w:r w:rsidR="007E723F" w:rsidRPr="005E5973">
              <w:rPr>
                <w:rFonts w:ascii="Arial" w:hAnsi="Arial" w:cs="Arial"/>
                <w:color w:val="000000" w:themeColor="text1"/>
                <w:sz w:val="20"/>
                <w:lang w:val="fr-CH"/>
              </w:rPr>
              <w:t xml:space="preserve"> </w:t>
            </w:r>
          </w:p>
          <w:p w14:paraId="5D03F465" w14:textId="07122754" w:rsidR="00241410" w:rsidRPr="005E5973" w:rsidRDefault="002079BB" w:rsidP="00997FC2">
            <w:pPr>
              <w:rPr>
                <w:rFonts w:ascii="Arial" w:hAnsi="Arial" w:cs="Arial"/>
                <w:color w:val="000000" w:themeColor="text1"/>
                <w:sz w:val="20"/>
                <w:lang w:val="fr-CH"/>
              </w:rPr>
            </w:pPr>
            <w:r w:rsidRPr="005E5973">
              <w:rPr>
                <w:rFonts w:ascii="Arial" w:hAnsi="Arial" w:cs="Arial"/>
                <w:color w:val="000000" w:themeColor="text1"/>
                <w:sz w:val="20"/>
                <w:lang w:val="fr-CH"/>
              </w:rPr>
              <w:t>2) Niveau opérationnel:</w:t>
            </w:r>
            <w:r w:rsidR="006C7B17" w:rsidRPr="005E5973">
              <w:rPr>
                <w:rFonts w:ascii="Arial" w:hAnsi="Arial" w:cs="Arial"/>
                <w:color w:val="000000" w:themeColor="text1"/>
                <w:sz w:val="20"/>
                <w:lang w:val="fr-CH"/>
              </w:rPr>
              <w:t xml:space="preserve"> </w:t>
            </w:r>
            <w:r w:rsidRPr="005E5973">
              <w:rPr>
                <w:rFonts w:ascii="Arial" w:hAnsi="Arial" w:cs="Arial"/>
                <w:color w:val="000000" w:themeColor="text1"/>
                <w:sz w:val="20"/>
                <w:lang w:val="fr-CH"/>
              </w:rPr>
              <w:t>direction ainsi que spécialistes internes ou externes</w:t>
            </w:r>
          </w:p>
        </w:tc>
      </w:tr>
      <w:tr w:rsidR="003A2025" w:rsidRPr="005E5973" w14:paraId="102ECFB6" w14:textId="77777777" w:rsidTr="00123BE6">
        <w:tc>
          <w:tcPr>
            <w:tcW w:w="2548" w:type="dxa"/>
            <w:shd w:val="clear" w:color="auto" w:fill="auto"/>
          </w:tcPr>
          <w:p w14:paraId="2752F681" w14:textId="77777777" w:rsidR="00753959" w:rsidRPr="005E5973" w:rsidRDefault="00753959" w:rsidP="00205A6F">
            <w:pPr>
              <w:jc w:val="right"/>
              <w:rPr>
                <w:rFonts w:ascii="Arial" w:hAnsi="Arial" w:cs="Arial"/>
                <w:i/>
                <w:iCs/>
                <w:color w:val="00798C"/>
                <w:sz w:val="21"/>
                <w:szCs w:val="21"/>
                <w:shd w:val="clear" w:color="auto" w:fill="FFFFFF"/>
                <w:lang w:val="fr-CH"/>
              </w:rPr>
            </w:pPr>
          </w:p>
          <w:p w14:paraId="1F2282D8" w14:textId="71FEC3F8" w:rsidR="006C7B17" w:rsidRPr="005E5973" w:rsidRDefault="002079BB" w:rsidP="00997FC2">
            <w:pPr>
              <w:jc w:val="right"/>
              <w:rPr>
                <w:rFonts w:ascii="Arial" w:hAnsi="Arial" w:cs="Arial"/>
                <w:i/>
                <w:iCs/>
                <w:color w:val="00798C"/>
                <w:sz w:val="20"/>
                <w:szCs w:val="18"/>
                <w:lang w:val="fr-CH"/>
              </w:rPr>
            </w:pPr>
            <w:r w:rsidRPr="005E5973">
              <w:rPr>
                <w:rFonts w:ascii="Arial" w:hAnsi="Arial" w:cs="Arial"/>
                <w:i/>
                <w:iCs/>
                <w:color w:val="00798C"/>
                <w:sz w:val="21"/>
                <w:szCs w:val="21"/>
                <w:shd w:val="clear" w:color="auto" w:fill="FFFFFF"/>
                <w:lang w:val="fr-CH"/>
              </w:rPr>
              <w:t>Différentes formes d’organisation sont possibles.</w:t>
            </w:r>
            <w:r w:rsidR="000E4EF0" w:rsidRPr="005E5973">
              <w:rPr>
                <w:rFonts w:ascii="Arial" w:hAnsi="Arial" w:cs="Arial"/>
                <w:i/>
                <w:iCs/>
                <w:color w:val="00798C"/>
                <w:sz w:val="21"/>
                <w:szCs w:val="21"/>
                <w:shd w:val="clear" w:color="auto" w:fill="FFFFFF"/>
                <w:lang w:val="fr-CH"/>
              </w:rPr>
              <w:t xml:space="preserve"> </w:t>
            </w:r>
            <w:r w:rsidRPr="005E5973">
              <w:rPr>
                <w:rFonts w:ascii="Arial" w:hAnsi="Arial" w:cs="Arial"/>
                <w:i/>
                <w:iCs/>
                <w:color w:val="00798C"/>
                <w:sz w:val="21"/>
                <w:szCs w:val="21"/>
                <w:shd w:val="clear" w:color="auto" w:fill="FFFFFF"/>
                <w:lang w:val="fr-CH"/>
              </w:rPr>
              <w:t>Veillez toujours à ce qu’il n’y ait pas de confusions entre les tâches opérationnelles et stratégiques.</w:t>
            </w:r>
            <w:r w:rsidR="00205A6F" w:rsidRPr="005E5973">
              <w:rPr>
                <w:rFonts w:ascii="Arial" w:hAnsi="Arial" w:cs="Arial"/>
                <w:i/>
                <w:iCs/>
                <w:color w:val="00798C"/>
                <w:sz w:val="21"/>
                <w:szCs w:val="21"/>
                <w:shd w:val="clear" w:color="auto" w:fill="FFFFFF"/>
                <w:lang w:val="fr-CH"/>
              </w:rPr>
              <w:t xml:space="preserve"> </w:t>
            </w:r>
          </w:p>
        </w:tc>
        <w:tc>
          <w:tcPr>
            <w:tcW w:w="7579" w:type="dxa"/>
            <w:shd w:val="clear" w:color="auto" w:fill="auto"/>
          </w:tcPr>
          <w:p w14:paraId="0A0248F3" w14:textId="0091A91F" w:rsidR="007E723F" w:rsidRPr="005E5973" w:rsidRDefault="002079BB" w:rsidP="00267463">
            <w:pPr>
              <w:rPr>
                <w:rFonts w:ascii="Arial" w:hAnsi="Arial" w:cs="Arial"/>
                <w:b/>
                <w:sz w:val="20"/>
                <w:lang w:val="fr-CH"/>
              </w:rPr>
            </w:pPr>
            <w:r w:rsidRPr="005E5973">
              <w:rPr>
                <w:rFonts w:ascii="Arial" w:hAnsi="Arial" w:cs="Arial"/>
                <w:b/>
                <w:sz w:val="20"/>
                <w:szCs w:val="18"/>
                <w:lang w:val="fr-CH"/>
              </w:rPr>
              <w:t>4.2 Niveau stratégique</w:t>
            </w:r>
          </w:p>
          <w:p w14:paraId="14B559C3" w14:textId="31943C78" w:rsidR="006C7B17" w:rsidRPr="005E5973" w:rsidRDefault="002079BB" w:rsidP="00267463">
            <w:pPr>
              <w:rPr>
                <w:rFonts w:ascii="Arial" w:hAnsi="Arial" w:cs="Arial"/>
                <w:sz w:val="20"/>
                <w:lang w:val="fr-CH"/>
              </w:rPr>
            </w:pPr>
            <w:r w:rsidRPr="005E5973">
              <w:rPr>
                <w:rFonts w:ascii="Arial" w:hAnsi="Arial" w:cs="Arial"/>
                <w:sz w:val="20"/>
                <w:lang w:val="fr-CH"/>
              </w:rPr>
              <w:t>L’organe directeur suprême</w:t>
            </w:r>
            <w:r w:rsidR="006C7B17" w:rsidRPr="005E5973">
              <w:rPr>
                <w:rFonts w:ascii="Arial" w:hAnsi="Arial" w:cs="Arial"/>
                <w:sz w:val="20"/>
                <w:lang w:val="fr-CH"/>
              </w:rPr>
              <w:t xml:space="preserve"> </w:t>
            </w:r>
          </w:p>
          <w:p w14:paraId="0C414C42" w14:textId="2BC5895A" w:rsidR="006C7B17" w:rsidRPr="005E5973" w:rsidRDefault="00A73258" w:rsidP="00A73258">
            <w:pPr>
              <w:pStyle w:val="Listenabsatz"/>
              <w:numPr>
                <w:ilvl w:val="0"/>
                <w:numId w:val="27"/>
              </w:numPr>
              <w:rPr>
                <w:rFonts w:ascii="Arial" w:hAnsi="Arial" w:cs="Arial"/>
                <w:sz w:val="20"/>
                <w:lang w:val="fr-CH"/>
              </w:rPr>
            </w:pPr>
            <w:r w:rsidRPr="005E5973">
              <w:rPr>
                <w:rFonts w:ascii="Arial" w:hAnsi="Arial" w:cs="Arial"/>
                <w:sz w:val="20"/>
                <w:lang w:val="fr-CH"/>
              </w:rPr>
              <w:t>assume la responsabilité de la gestion des actifs.</w:t>
            </w:r>
          </w:p>
          <w:p w14:paraId="40173F37" w14:textId="5F8D6A09" w:rsidR="006C7B17" w:rsidRPr="005E5973" w:rsidRDefault="00A73258" w:rsidP="00A73258">
            <w:pPr>
              <w:pStyle w:val="Listenabsatz"/>
              <w:numPr>
                <w:ilvl w:val="0"/>
                <w:numId w:val="27"/>
              </w:numPr>
              <w:rPr>
                <w:rFonts w:ascii="Arial" w:hAnsi="Arial" w:cs="Arial"/>
                <w:sz w:val="20"/>
                <w:lang w:val="fr-CH"/>
              </w:rPr>
            </w:pPr>
            <w:r w:rsidRPr="005E5973">
              <w:rPr>
                <w:rFonts w:ascii="Arial" w:hAnsi="Arial" w:cs="Arial"/>
                <w:sz w:val="20"/>
                <w:lang w:val="fr-CH"/>
              </w:rPr>
              <w:t>définit la structure stratégique des actifs et les fourchettes tactiques.</w:t>
            </w:r>
          </w:p>
          <w:p w14:paraId="56E10682" w14:textId="11CCCEC8" w:rsidR="006C7B17" w:rsidRPr="005E5973" w:rsidRDefault="00A73258" w:rsidP="00A73258">
            <w:pPr>
              <w:pStyle w:val="Listenabsatz"/>
              <w:numPr>
                <w:ilvl w:val="0"/>
                <w:numId w:val="27"/>
              </w:numPr>
              <w:rPr>
                <w:rFonts w:ascii="Arial" w:hAnsi="Arial" w:cs="Arial"/>
                <w:sz w:val="20"/>
                <w:lang w:val="fr-CH"/>
              </w:rPr>
            </w:pPr>
            <w:r w:rsidRPr="005E5973">
              <w:rPr>
                <w:rFonts w:ascii="Arial" w:hAnsi="Arial" w:cs="Arial"/>
                <w:sz w:val="20"/>
                <w:lang w:val="fr-CH"/>
              </w:rPr>
              <w:t>peut déléguer des tâches administratives de la gestion d’actifs à des gérants d’actifs externes ou des banques.</w:t>
            </w:r>
          </w:p>
          <w:p w14:paraId="11C387CA" w14:textId="43076D23" w:rsidR="006C7B17" w:rsidRPr="005E5973" w:rsidRDefault="00A73258" w:rsidP="00A73258">
            <w:pPr>
              <w:pStyle w:val="Listenabsatz"/>
              <w:numPr>
                <w:ilvl w:val="0"/>
                <w:numId w:val="27"/>
              </w:numPr>
              <w:rPr>
                <w:rFonts w:ascii="Arial" w:hAnsi="Arial" w:cs="Arial"/>
                <w:sz w:val="20"/>
                <w:lang w:val="fr-CH"/>
              </w:rPr>
            </w:pPr>
            <w:r w:rsidRPr="005E5973">
              <w:rPr>
                <w:rFonts w:ascii="Arial" w:hAnsi="Arial" w:cs="Arial"/>
                <w:sz w:val="20"/>
                <w:lang w:val="fr-CH"/>
              </w:rPr>
              <w:t>règle le cas échéant, à l’aide de mandats de gestion clairement définis et de prescriptions spécifiques, l’activité de tels gérants d’actifs.</w:t>
            </w:r>
            <w:r w:rsidR="006C7B17" w:rsidRPr="005E5973">
              <w:rPr>
                <w:rFonts w:ascii="Arial" w:hAnsi="Arial" w:cs="Arial"/>
                <w:sz w:val="20"/>
                <w:lang w:val="fr-CH"/>
              </w:rPr>
              <w:t xml:space="preserve"> </w:t>
            </w:r>
          </w:p>
          <w:p w14:paraId="153D0CB4" w14:textId="7A7CE621" w:rsidR="006C7B17" w:rsidRPr="005E5973" w:rsidRDefault="00A73258" w:rsidP="00A73258">
            <w:pPr>
              <w:pStyle w:val="Listenabsatz"/>
              <w:numPr>
                <w:ilvl w:val="0"/>
                <w:numId w:val="27"/>
              </w:numPr>
              <w:rPr>
                <w:rFonts w:ascii="Arial" w:hAnsi="Arial" w:cs="Arial"/>
                <w:sz w:val="20"/>
                <w:lang w:val="fr-CH"/>
              </w:rPr>
            </w:pPr>
            <w:r w:rsidRPr="005E5973">
              <w:rPr>
                <w:rFonts w:ascii="Arial" w:hAnsi="Arial" w:cs="Arial"/>
                <w:sz w:val="20"/>
                <w:lang w:val="fr-CH"/>
              </w:rPr>
              <w:t>assure le respect des directives de placement par un contrôle correspondant.</w:t>
            </w:r>
          </w:p>
          <w:p w14:paraId="621D1155" w14:textId="3029A8FE" w:rsidR="00380964" w:rsidRPr="005E5973" w:rsidRDefault="00A73258" w:rsidP="00997FC2">
            <w:pPr>
              <w:pStyle w:val="Listenabsatz"/>
              <w:numPr>
                <w:ilvl w:val="0"/>
                <w:numId w:val="27"/>
              </w:numPr>
              <w:pBdr>
                <w:top w:val="none" w:sz="0" w:space="2" w:color="FF0000" w:shadow="1"/>
                <w:left w:val="none" w:sz="0" w:space="2" w:color="FF0000" w:shadow="1"/>
                <w:bottom w:val="none" w:sz="0" w:space="2" w:color="FF0000" w:shadow="1"/>
                <w:right w:val="none" w:sz="0" w:space="2" w:color="FF0000" w:shadow="1"/>
              </w:pBdr>
              <w:rPr>
                <w:rFonts w:ascii="Arial" w:hAnsi="Arial" w:cs="Arial"/>
                <w:sz w:val="20"/>
                <w:lang w:val="fr-CH"/>
              </w:rPr>
            </w:pPr>
            <w:r w:rsidRPr="005E5973">
              <w:rPr>
                <w:rFonts w:ascii="Arial" w:hAnsi="Arial" w:cs="Arial"/>
                <w:sz w:val="20"/>
                <w:lang w:val="fr-CH"/>
              </w:rPr>
              <w:t>définit si des droits de vote sont exercés.</w:t>
            </w:r>
          </w:p>
        </w:tc>
      </w:tr>
      <w:tr w:rsidR="003A2025" w:rsidRPr="005E5973" w14:paraId="5A46F11A" w14:textId="77777777" w:rsidTr="00123BE6">
        <w:trPr>
          <w:trHeight w:val="1943"/>
        </w:trPr>
        <w:tc>
          <w:tcPr>
            <w:tcW w:w="2548" w:type="dxa"/>
            <w:shd w:val="clear" w:color="auto" w:fill="auto"/>
          </w:tcPr>
          <w:p w14:paraId="6EE326D2" w14:textId="77777777" w:rsidR="006C7B17" w:rsidRPr="005E5973" w:rsidRDefault="006C7B17" w:rsidP="00267463">
            <w:pPr>
              <w:jc w:val="right"/>
              <w:rPr>
                <w:rFonts w:ascii="Arial" w:hAnsi="Arial" w:cs="Arial"/>
                <w:i/>
                <w:iCs/>
                <w:sz w:val="20"/>
                <w:szCs w:val="18"/>
                <w:lang w:val="fr-CH"/>
              </w:rPr>
            </w:pPr>
          </w:p>
        </w:tc>
        <w:tc>
          <w:tcPr>
            <w:tcW w:w="7579" w:type="dxa"/>
            <w:shd w:val="clear" w:color="auto" w:fill="auto"/>
          </w:tcPr>
          <w:p w14:paraId="3058EEB6" w14:textId="738225CB" w:rsidR="007266C4" w:rsidRPr="005E5973" w:rsidRDefault="002079BB" w:rsidP="00267463">
            <w:pPr>
              <w:rPr>
                <w:rFonts w:ascii="Arial" w:hAnsi="Arial" w:cs="Arial"/>
                <w:b/>
                <w:sz w:val="20"/>
                <w:szCs w:val="18"/>
                <w:lang w:val="fr-CH"/>
              </w:rPr>
            </w:pPr>
            <w:r w:rsidRPr="005E5973">
              <w:rPr>
                <w:rFonts w:ascii="Arial" w:hAnsi="Arial" w:cs="Arial"/>
                <w:b/>
                <w:sz w:val="20"/>
                <w:szCs w:val="18"/>
                <w:lang w:val="fr-CH"/>
              </w:rPr>
              <w:t>4.3 Niveau opérationnel</w:t>
            </w:r>
          </w:p>
          <w:p w14:paraId="265C080E" w14:textId="33B81910" w:rsidR="006545AA" w:rsidRPr="005E5973" w:rsidRDefault="002079BB" w:rsidP="00267463">
            <w:pPr>
              <w:rPr>
                <w:rFonts w:ascii="Arial" w:hAnsi="Arial" w:cs="Arial"/>
                <w:sz w:val="20"/>
                <w:lang w:val="fr-CH"/>
              </w:rPr>
            </w:pPr>
            <w:r w:rsidRPr="005E5973">
              <w:rPr>
                <w:rFonts w:ascii="Arial" w:hAnsi="Arial" w:cs="Arial"/>
                <w:sz w:val="20"/>
                <w:szCs w:val="18"/>
                <w:lang w:val="fr-CH"/>
              </w:rPr>
              <w:t>La personne désignée au niveau opérationnel</w:t>
            </w:r>
          </w:p>
          <w:p w14:paraId="1DA28146" w14:textId="7D1BF69C" w:rsidR="006C7B17" w:rsidRPr="005E5973" w:rsidRDefault="002079BB" w:rsidP="009B3B19">
            <w:pPr>
              <w:pStyle w:val="Listenabsatz"/>
              <w:numPr>
                <w:ilvl w:val="0"/>
                <w:numId w:val="28"/>
              </w:numPr>
              <w:rPr>
                <w:rFonts w:ascii="Arial" w:hAnsi="Arial" w:cs="Arial"/>
                <w:sz w:val="20"/>
                <w:lang w:val="fr-CH"/>
              </w:rPr>
            </w:pPr>
            <w:r w:rsidRPr="005E5973">
              <w:rPr>
                <w:rFonts w:ascii="Arial" w:hAnsi="Arial" w:cs="Arial"/>
                <w:sz w:val="20"/>
                <w:lang w:val="fr-CH"/>
              </w:rPr>
              <w:t>est responsable de la planification des liquidités et du contrôle des liquidités.</w:t>
            </w:r>
          </w:p>
          <w:p w14:paraId="7E460E20" w14:textId="4FBC83D1" w:rsidR="006C7B17" w:rsidRPr="005E5973" w:rsidRDefault="002079BB" w:rsidP="009B3B19">
            <w:pPr>
              <w:pStyle w:val="Listenabsatz"/>
              <w:numPr>
                <w:ilvl w:val="0"/>
                <w:numId w:val="28"/>
              </w:numPr>
              <w:rPr>
                <w:rFonts w:ascii="Arial" w:hAnsi="Arial" w:cs="Arial"/>
                <w:sz w:val="20"/>
                <w:lang w:val="fr-CH"/>
              </w:rPr>
            </w:pPr>
            <w:r w:rsidRPr="005E5973">
              <w:rPr>
                <w:rFonts w:ascii="Arial" w:hAnsi="Arial" w:cs="Arial"/>
                <w:sz w:val="20"/>
                <w:lang w:val="fr-CH"/>
              </w:rPr>
              <w:t>est le cas échéant l’interlocuteur des gérants d’actifs externes ainsi que de la banque.</w:t>
            </w:r>
          </w:p>
          <w:p w14:paraId="6098EE90" w14:textId="2DAE67F5" w:rsidR="006C7B17" w:rsidRPr="005E5973" w:rsidRDefault="002079BB" w:rsidP="009B3B19">
            <w:pPr>
              <w:pStyle w:val="Listenabsatz"/>
              <w:numPr>
                <w:ilvl w:val="0"/>
                <w:numId w:val="28"/>
              </w:numPr>
              <w:rPr>
                <w:rFonts w:ascii="Arial" w:hAnsi="Arial" w:cs="Arial"/>
                <w:sz w:val="20"/>
                <w:lang w:val="fr-CH"/>
              </w:rPr>
            </w:pPr>
            <w:r w:rsidRPr="005E5973">
              <w:rPr>
                <w:rFonts w:ascii="Arial" w:hAnsi="Arial" w:cs="Arial"/>
                <w:sz w:val="20"/>
                <w:lang w:val="fr-CH"/>
              </w:rPr>
              <w:t>élabore – le cas échéant avec un spécialiste externe – la structure stratégique des actifs et l’élaboration des fourchettes.</w:t>
            </w:r>
            <w:r w:rsidR="001C3B46" w:rsidRPr="005E5973">
              <w:rPr>
                <w:rFonts w:ascii="Arial" w:hAnsi="Arial" w:cs="Arial"/>
                <w:sz w:val="20"/>
                <w:lang w:val="fr-CH"/>
              </w:rPr>
              <w:t xml:space="preserve"> </w:t>
            </w:r>
            <w:r w:rsidRPr="005E5973">
              <w:rPr>
                <w:rFonts w:ascii="Arial" w:hAnsi="Arial" w:cs="Arial"/>
                <w:sz w:val="20"/>
                <w:lang w:val="fr-CH"/>
              </w:rPr>
              <w:t>Elle les soumet à l’organe directeur suprême en vue de la prise de décision.</w:t>
            </w:r>
          </w:p>
          <w:p w14:paraId="6604FDC6" w14:textId="010443C9" w:rsidR="006C7B17" w:rsidRPr="005E5973" w:rsidRDefault="002079BB" w:rsidP="009B3B19">
            <w:pPr>
              <w:pStyle w:val="Listenabsatz"/>
              <w:numPr>
                <w:ilvl w:val="0"/>
                <w:numId w:val="28"/>
              </w:numPr>
              <w:rPr>
                <w:rFonts w:ascii="Arial" w:hAnsi="Arial" w:cs="Arial"/>
                <w:sz w:val="20"/>
                <w:lang w:val="fr-CH"/>
              </w:rPr>
            </w:pPr>
            <w:r w:rsidRPr="005E5973">
              <w:rPr>
                <w:rFonts w:ascii="Arial" w:hAnsi="Arial" w:cs="Arial"/>
                <w:sz w:val="20"/>
                <w:lang w:val="fr-CH"/>
              </w:rPr>
              <w:t>décide le cas échéant de la manière dont les droits de vote sont exercés.</w:t>
            </w:r>
            <w:r w:rsidR="00205A6F" w:rsidRPr="005E5973">
              <w:rPr>
                <w:rFonts w:ascii="Arial" w:hAnsi="Arial" w:cs="Arial"/>
                <w:sz w:val="20"/>
                <w:lang w:val="fr-CH"/>
              </w:rPr>
              <w:t xml:space="preserve"> </w:t>
            </w:r>
          </w:p>
          <w:p w14:paraId="15C31992" w14:textId="73B38C46" w:rsidR="00997FC2" w:rsidRPr="005E5973" w:rsidRDefault="002079BB" w:rsidP="00997FC2">
            <w:pPr>
              <w:pStyle w:val="Listenabsatz"/>
              <w:numPr>
                <w:ilvl w:val="0"/>
                <w:numId w:val="28"/>
              </w:numPr>
              <w:rPr>
                <w:rFonts w:ascii="Arial" w:hAnsi="Arial" w:cs="Arial"/>
                <w:b/>
                <w:sz w:val="20"/>
                <w:szCs w:val="18"/>
                <w:lang w:val="fr-CH"/>
              </w:rPr>
            </w:pPr>
            <w:r w:rsidRPr="005E5973">
              <w:rPr>
                <w:rFonts w:ascii="Arial" w:hAnsi="Arial" w:cs="Arial"/>
                <w:sz w:val="20"/>
                <w:lang w:val="fr-CH"/>
              </w:rPr>
              <w:t>contrôle le respect de la structure stratégique des actifs, des fourchettes tactiques ainsi que du succès des placements et en informe l’organe directeur suprême.</w:t>
            </w:r>
          </w:p>
          <w:p w14:paraId="60F646D5" w14:textId="502294AA" w:rsidR="00FE3517" w:rsidRPr="0042566D" w:rsidRDefault="00FE3517" w:rsidP="00FE3517">
            <w:pPr>
              <w:pStyle w:val="Listenabsatz"/>
              <w:ind w:left="170"/>
              <w:rPr>
                <w:rFonts w:ascii="Arial" w:hAnsi="Arial" w:cs="Arial"/>
                <w:sz w:val="20"/>
                <w:lang w:val="en-US"/>
              </w:rPr>
            </w:pPr>
          </w:p>
          <w:p w14:paraId="6888919C" w14:textId="34DBC7DC" w:rsidR="005D6FAE" w:rsidRPr="005E5973" w:rsidRDefault="00FE3517" w:rsidP="00FE3517">
            <w:pPr>
              <w:rPr>
                <w:rFonts w:ascii="Arial" w:hAnsi="Arial" w:cs="Arial"/>
                <w:b/>
                <w:sz w:val="20"/>
                <w:lang w:val="fr-CH"/>
              </w:rPr>
            </w:pPr>
            <w:r>
              <w:rPr>
                <w:rFonts w:ascii="Arial" w:hAnsi="Arial" w:cs="Arial"/>
                <w:b/>
                <w:sz w:val="20"/>
                <w:szCs w:val="18"/>
              </w:rPr>
              <w:t>4.4</w:t>
            </w:r>
            <w:r w:rsidRPr="007E723F">
              <w:rPr>
                <w:rFonts w:ascii="Arial" w:hAnsi="Arial" w:cs="Arial"/>
                <w:b/>
                <w:sz w:val="20"/>
                <w:szCs w:val="18"/>
              </w:rPr>
              <w:t xml:space="preserve"> </w:t>
            </w:r>
            <w:proofErr w:type="spellStart"/>
            <w:r>
              <w:rPr>
                <w:rFonts w:ascii="Arial" w:hAnsi="Arial" w:cs="Arial"/>
                <w:b/>
                <w:sz w:val="20"/>
                <w:szCs w:val="18"/>
              </w:rPr>
              <w:t>Gestion</w:t>
            </w:r>
            <w:proofErr w:type="spellEnd"/>
            <w:r>
              <w:rPr>
                <w:rFonts w:ascii="Arial" w:hAnsi="Arial" w:cs="Arial"/>
                <w:b/>
                <w:sz w:val="20"/>
                <w:szCs w:val="18"/>
              </w:rPr>
              <w:t xml:space="preserve"> </w:t>
            </w:r>
            <w:proofErr w:type="spellStart"/>
            <w:r>
              <w:rPr>
                <w:rFonts w:ascii="Arial" w:hAnsi="Arial" w:cs="Arial"/>
                <w:b/>
                <w:sz w:val="20"/>
                <w:szCs w:val="18"/>
              </w:rPr>
              <w:t>d’actifs</w:t>
            </w:r>
            <w:proofErr w:type="spellEnd"/>
          </w:p>
        </w:tc>
      </w:tr>
      <w:tr w:rsidR="003A2025" w:rsidRPr="0042566D" w14:paraId="25AB94D3" w14:textId="77777777" w:rsidTr="00123BE6">
        <w:trPr>
          <w:trHeight w:val="3795"/>
        </w:trPr>
        <w:tc>
          <w:tcPr>
            <w:tcW w:w="2548" w:type="dxa"/>
            <w:shd w:val="clear" w:color="auto" w:fill="auto"/>
          </w:tcPr>
          <w:p w14:paraId="6E9C4DB5" w14:textId="77777777" w:rsidR="006C7B17" w:rsidRPr="005E5973" w:rsidRDefault="006C7B17" w:rsidP="007266C4">
            <w:pPr>
              <w:rPr>
                <w:rFonts w:ascii="Arial" w:hAnsi="Arial" w:cs="Arial"/>
                <w:i/>
                <w:iCs/>
                <w:sz w:val="20"/>
                <w:szCs w:val="18"/>
                <w:lang w:val="fr-CH"/>
              </w:rPr>
            </w:pPr>
            <w:r w:rsidRPr="005E5973">
              <w:rPr>
                <w:rFonts w:ascii="Arial" w:hAnsi="Arial" w:cs="Arial"/>
                <w:i/>
                <w:iCs/>
                <w:sz w:val="20"/>
                <w:szCs w:val="18"/>
                <w:lang w:val="fr-CH"/>
              </w:rPr>
              <w:t xml:space="preserve"> </w:t>
            </w:r>
          </w:p>
        </w:tc>
        <w:tc>
          <w:tcPr>
            <w:tcW w:w="7579" w:type="dxa"/>
            <w:shd w:val="clear" w:color="auto" w:fill="auto"/>
          </w:tcPr>
          <w:p w14:paraId="4CB1FE08" w14:textId="1F311C72" w:rsidR="005B6C78" w:rsidRPr="005E5973" w:rsidRDefault="002079BB" w:rsidP="000A45C8">
            <w:pPr>
              <w:pStyle w:val="Listenabsatz"/>
              <w:numPr>
                <w:ilvl w:val="0"/>
                <w:numId w:val="29"/>
              </w:numPr>
              <w:rPr>
                <w:rFonts w:ascii="Arial" w:hAnsi="Arial" w:cs="Arial"/>
                <w:sz w:val="20"/>
                <w:lang w:val="fr-CH"/>
              </w:rPr>
            </w:pPr>
            <w:r w:rsidRPr="005E5973">
              <w:rPr>
                <w:rFonts w:ascii="Arial" w:hAnsi="Arial" w:cs="Arial"/>
                <w:sz w:val="20"/>
                <w:lang w:val="fr-CH"/>
              </w:rPr>
              <w:t>Le spécialiste chargé de la gestion d’actifs exerce son activité dans le cadre de ce règlement, à l’inclusion des annexes.</w:t>
            </w:r>
          </w:p>
          <w:p w14:paraId="5CFB006F" w14:textId="4FBCD65E" w:rsidR="000226C9" w:rsidRPr="005E5973" w:rsidRDefault="000A45C8" w:rsidP="000A45C8">
            <w:pPr>
              <w:pStyle w:val="Listenabsatz"/>
              <w:numPr>
                <w:ilvl w:val="0"/>
                <w:numId w:val="29"/>
              </w:numPr>
              <w:rPr>
                <w:rFonts w:ascii="Arial" w:hAnsi="Arial" w:cs="Arial"/>
                <w:sz w:val="20"/>
                <w:lang w:val="fr-CH"/>
              </w:rPr>
            </w:pPr>
            <w:r w:rsidRPr="005E5973">
              <w:rPr>
                <w:rFonts w:ascii="Arial" w:hAnsi="Arial" w:cs="Arial"/>
                <w:sz w:val="20"/>
                <w:lang w:val="fr-CH"/>
              </w:rPr>
              <w:t>Si des spécialistes ou institutions externes sont chargés de la gestion d’actifs opérationnelle, les conflits d’intérêts doivent être évités et les liens d’intérêt le cas échéant divulgués.</w:t>
            </w:r>
            <w:r w:rsidR="000226C9" w:rsidRPr="005E5973">
              <w:rPr>
                <w:rFonts w:ascii="Arial" w:hAnsi="Arial" w:cs="Arial"/>
                <w:sz w:val="20"/>
                <w:lang w:val="fr-CH"/>
              </w:rPr>
              <w:t xml:space="preserve"> </w:t>
            </w:r>
          </w:p>
          <w:p w14:paraId="21DCA076" w14:textId="20D4ACD3" w:rsidR="00E72D41" w:rsidRPr="005E5973" w:rsidRDefault="000A45C8" w:rsidP="000A45C8">
            <w:pPr>
              <w:pStyle w:val="Listenabsatz"/>
              <w:numPr>
                <w:ilvl w:val="0"/>
                <w:numId w:val="29"/>
              </w:numPr>
              <w:rPr>
                <w:rFonts w:ascii="Arial" w:hAnsi="Arial" w:cs="Arial"/>
                <w:sz w:val="20"/>
                <w:lang w:val="fr-CH"/>
              </w:rPr>
            </w:pPr>
            <w:r w:rsidRPr="005E5973">
              <w:rPr>
                <w:rFonts w:ascii="Arial" w:hAnsi="Arial" w:cs="Arial"/>
                <w:sz w:val="20"/>
                <w:lang w:val="fr-CH"/>
              </w:rPr>
              <w:t>Si un spécialiste interne est chargé de la gestion d’actifs opérationnelle, veiller à une répartition des tâches qui sépare l’activité d’exécution et la surveillance.</w:t>
            </w:r>
            <w:r w:rsidR="00D20760" w:rsidRPr="005E5973">
              <w:rPr>
                <w:rFonts w:ascii="Arial" w:hAnsi="Arial" w:cs="Arial"/>
                <w:sz w:val="20"/>
                <w:lang w:val="fr-CH"/>
              </w:rPr>
              <w:t xml:space="preserve"> </w:t>
            </w:r>
          </w:p>
          <w:p w14:paraId="570B6F44" w14:textId="5A1F853A" w:rsidR="006C7B17" w:rsidRPr="005E5973" w:rsidRDefault="000A45C8" w:rsidP="000A45C8">
            <w:pPr>
              <w:pStyle w:val="Listenabsatz"/>
              <w:numPr>
                <w:ilvl w:val="0"/>
                <w:numId w:val="29"/>
              </w:numPr>
              <w:rPr>
                <w:rFonts w:ascii="Arial" w:hAnsi="Arial" w:cs="Arial"/>
                <w:sz w:val="20"/>
                <w:lang w:val="fr-CH"/>
              </w:rPr>
            </w:pPr>
            <w:r w:rsidRPr="005E5973">
              <w:rPr>
                <w:rFonts w:ascii="Arial" w:hAnsi="Arial" w:cs="Arial"/>
                <w:sz w:val="20"/>
                <w:lang w:val="fr-CH"/>
              </w:rPr>
              <w:t>Le spécialiste chargé de la gestion d’actifs opérationnelle établit au moins une fois par an un rapport détaillé (performance, comparaison avec indice de référence, relevé de dépôt, transactions, perspectives et mesures) au profit du niveau opérationnel.</w:t>
            </w:r>
          </w:p>
          <w:p w14:paraId="198F3331" w14:textId="3181AE60" w:rsidR="00567EB3" w:rsidRPr="005E5973" w:rsidRDefault="00567EB3" w:rsidP="00567EB3">
            <w:pPr>
              <w:pStyle w:val="Listenabsatz"/>
              <w:ind w:left="170"/>
              <w:rPr>
                <w:rFonts w:ascii="Arial" w:hAnsi="Arial" w:cs="Arial"/>
                <w:sz w:val="20"/>
                <w:lang w:val="fr-CH"/>
              </w:rPr>
            </w:pPr>
          </w:p>
        </w:tc>
      </w:tr>
      <w:tr w:rsidR="003A2025" w:rsidRPr="005E5973" w14:paraId="2AEAEB96" w14:textId="77777777" w:rsidTr="00123BE6">
        <w:trPr>
          <w:trHeight w:val="218"/>
        </w:trPr>
        <w:tc>
          <w:tcPr>
            <w:tcW w:w="2548" w:type="dxa"/>
            <w:shd w:val="clear" w:color="auto" w:fill="auto"/>
          </w:tcPr>
          <w:p w14:paraId="33BF3082" w14:textId="38C3F96F" w:rsidR="003065E0" w:rsidRPr="005E5973" w:rsidRDefault="003065E0" w:rsidP="00A1673F">
            <w:pPr>
              <w:rPr>
                <w:rFonts w:ascii="Arial" w:hAnsi="Arial" w:cs="Arial"/>
                <w:i/>
                <w:iCs/>
                <w:color w:val="000000" w:themeColor="text1"/>
                <w:sz w:val="20"/>
                <w:szCs w:val="20"/>
                <w:lang w:val="fr-CH"/>
              </w:rPr>
            </w:pPr>
          </w:p>
        </w:tc>
        <w:tc>
          <w:tcPr>
            <w:tcW w:w="7579" w:type="dxa"/>
            <w:shd w:val="clear" w:color="auto" w:fill="auto"/>
          </w:tcPr>
          <w:p w14:paraId="48B4AA17" w14:textId="4CC027F7" w:rsidR="00154261" w:rsidRPr="005E5973" w:rsidRDefault="002079BB" w:rsidP="000A45C8">
            <w:pPr>
              <w:numPr>
                <w:ilvl w:val="0"/>
                <w:numId w:val="1"/>
              </w:numPr>
              <w:pBdr>
                <w:top w:val="none" w:sz="0" w:space="2" w:color="00FF00" w:shadow="1"/>
                <w:left w:val="none" w:sz="0" w:space="2" w:color="00FF00" w:shadow="1"/>
                <w:bottom w:val="none" w:sz="0" w:space="2" w:color="00FF00" w:shadow="1"/>
                <w:right w:val="none" w:sz="0" w:space="2" w:color="00FF00" w:shadow="1"/>
              </w:pBdr>
              <w:rPr>
                <w:rFonts w:ascii="Arial" w:hAnsi="Arial" w:cs="Arial"/>
                <w:b/>
                <w:color w:val="000000" w:themeColor="text1"/>
                <w:sz w:val="20"/>
                <w:lang w:val="fr-CH"/>
              </w:rPr>
            </w:pPr>
            <w:r w:rsidRPr="005E5973">
              <w:rPr>
                <w:rFonts w:ascii="Arial" w:hAnsi="Arial" w:cs="Arial"/>
                <w:b/>
                <w:color w:val="000000" w:themeColor="text1"/>
                <w:sz w:val="20"/>
                <w:u w:val="single"/>
                <w:lang w:val="fr-CH"/>
              </w:rPr>
              <w:t>Dispositions finales</w:t>
            </w:r>
          </w:p>
          <w:p w14:paraId="55EE1D67" w14:textId="77777777" w:rsidR="00154261" w:rsidRPr="005E5973" w:rsidRDefault="00154261" w:rsidP="00154261">
            <w:pPr>
              <w:ind w:left="360"/>
              <w:rPr>
                <w:rFonts w:ascii="Arial" w:hAnsi="Arial" w:cs="Arial"/>
                <w:b/>
                <w:color w:val="000000" w:themeColor="text1"/>
                <w:sz w:val="12"/>
                <w:lang w:val="fr-CH"/>
              </w:rPr>
            </w:pPr>
          </w:p>
        </w:tc>
      </w:tr>
      <w:tr w:rsidR="003A2025" w:rsidRPr="0042566D" w14:paraId="602ECB6C" w14:textId="77777777" w:rsidTr="00123BE6">
        <w:trPr>
          <w:trHeight w:val="1225"/>
        </w:trPr>
        <w:tc>
          <w:tcPr>
            <w:tcW w:w="2548" w:type="dxa"/>
            <w:shd w:val="clear" w:color="auto" w:fill="auto"/>
          </w:tcPr>
          <w:p w14:paraId="115C93F0" w14:textId="0CE0012D" w:rsidR="006C7B17" w:rsidRPr="005E5973" w:rsidRDefault="000A45C8" w:rsidP="00997FC2">
            <w:pPr>
              <w:jc w:val="right"/>
              <w:rPr>
                <w:rFonts w:ascii="Arial" w:hAnsi="Arial" w:cs="Arial"/>
                <w:i/>
                <w:iCs/>
                <w:color w:val="000000" w:themeColor="text1"/>
                <w:sz w:val="20"/>
                <w:szCs w:val="20"/>
                <w:lang w:val="fr-CH"/>
              </w:rPr>
            </w:pPr>
            <w:r w:rsidRPr="005E5973">
              <w:rPr>
                <w:rFonts w:ascii="Arial" w:hAnsi="Arial" w:cs="Arial"/>
                <w:i/>
                <w:iCs/>
                <w:color w:val="00798C"/>
                <w:sz w:val="21"/>
                <w:szCs w:val="21"/>
                <w:shd w:val="clear" w:color="auto" w:fill="FFFFFF"/>
                <w:lang w:val="fr-CH"/>
              </w:rPr>
              <w:t>Faites approuver le règlement par l’organe directeur et le cas échéant également par l’Autorité de surveillance des fondations.</w:t>
            </w:r>
          </w:p>
        </w:tc>
        <w:tc>
          <w:tcPr>
            <w:tcW w:w="7579" w:type="dxa"/>
            <w:shd w:val="clear" w:color="auto" w:fill="auto"/>
          </w:tcPr>
          <w:p w14:paraId="5E81C907" w14:textId="146DD95D" w:rsidR="006C7B17" w:rsidRPr="005E5973" w:rsidRDefault="002079BB" w:rsidP="00250459">
            <w:pPr>
              <w:rPr>
                <w:rFonts w:ascii="Arial" w:hAnsi="Arial" w:cs="Arial"/>
                <w:color w:val="000000" w:themeColor="text1"/>
                <w:sz w:val="20"/>
                <w:lang w:val="fr-CH"/>
              </w:rPr>
            </w:pPr>
            <w:r w:rsidRPr="005E5973">
              <w:rPr>
                <w:rFonts w:ascii="Arial" w:hAnsi="Arial" w:cs="Arial"/>
                <w:color w:val="000000" w:themeColor="text1"/>
                <w:sz w:val="20"/>
                <w:lang w:val="fr-CH"/>
              </w:rPr>
              <w:t>Le règlement a été approuvé par l’organe directeur le (date) et entre en vigueur avec effet immédiat.</w:t>
            </w:r>
            <w:r w:rsidR="00250459" w:rsidRPr="005E5973">
              <w:rPr>
                <w:rFonts w:ascii="Arial" w:hAnsi="Arial" w:cs="Arial"/>
                <w:color w:val="000000" w:themeColor="text1"/>
                <w:sz w:val="20"/>
                <w:lang w:val="fr-CH"/>
              </w:rPr>
              <w:t xml:space="preserve"> </w:t>
            </w:r>
            <w:r w:rsidRPr="005E5973">
              <w:rPr>
                <w:rFonts w:ascii="Arial" w:hAnsi="Arial" w:cs="Arial"/>
                <w:color w:val="000000" w:themeColor="text1"/>
                <w:sz w:val="20"/>
                <w:lang w:val="fr-CH"/>
              </w:rPr>
              <w:t>Il se substitue à tous les règlements en matière de placements de notre organisation.</w:t>
            </w:r>
            <w:r w:rsidR="00250459" w:rsidRPr="005E5973">
              <w:rPr>
                <w:rFonts w:ascii="Arial" w:hAnsi="Arial" w:cs="Arial"/>
                <w:color w:val="000000" w:themeColor="text1"/>
                <w:sz w:val="20"/>
                <w:lang w:val="fr-CH"/>
              </w:rPr>
              <w:t xml:space="preserve"> </w:t>
            </w:r>
          </w:p>
          <w:p w14:paraId="3409EAB5" w14:textId="77777777" w:rsidR="000361E1" w:rsidRPr="005E5973" w:rsidRDefault="000361E1" w:rsidP="00250459">
            <w:pPr>
              <w:rPr>
                <w:rFonts w:ascii="Arial" w:hAnsi="Arial" w:cs="Arial"/>
                <w:color w:val="000000" w:themeColor="text1"/>
                <w:sz w:val="20"/>
                <w:lang w:val="fr-CH"/>
              </w:rPr>
            </w:pPr>
          </w:p>
          <w:p w14:paraId="7B7E016F" w14:textId="77777777" w:rsidR="000361E1" w:rsidRPr="005E5973" w:rsidRDefault="000361E1" w:rsidP="00250459">
            <w:pPr>
              <w:rPr>
                <w:rFonts w:ascii="Arial" w:hAnsi="Arial" w:cs="Arial"/>
                <w:color w:val="000000" w:themeColor="text1"/>
                <w:sz w:val="20"/>
                <w:lang w:val="fr-CH"/>
              </w:rPr>
            </w:pPr>
          </w:p>
          <w:p w14:paraId="2C09FDCE" w14:textId="77777777" w:rsidR="000361E1" w:rsidRPr="005E5973" w:rsidRDefault="000361E1" w:rsidP="00250459">
            <w:pPr>
              <w:rPr>
                <w:rFonts w:ascii="Arial" w:hAnsi="Arial" w:cs="Arial"/>
                <w:color w:val="000000" w:themeColor="text1"/>
                <w:sz w:val="20"/>
                <w:lang w:val="fr-CH"/>
              </w:rPr>
            </w:pPr>
          </w:p>
          <w:p w14:paraId="165A92B1" w14:textId="77777777" w:rsidR="000361E1" w:rsidRPr="005E5973" w:rsidRDefault="000361E1" w:rsidP="00250459">
            <w:pPr>
              <w:rPr>
                <w:rFonts w:ascii="Arial" w:hAnsi="Arial" w:cs="Arial"/>
                <w:color w:val="000000" w:themeColor="text1"/>
                <w:sz w:val="20"/>
                <w:lang w:val="fr-CH"/>
              </w:rPr>
            </w:pPr>
          </w:p>
          <w:p w14:paraId="2BBA5563" w14:textId="77777777" w:rsidR="000361E1" w:rsidRPr="005E5973" w:rsidRDefault="000361E1" w:rsidP="00250459">
            <w:pPr>
              <w:rPr>
                <w:rFonts w:ascii="Arial" w:hAnsi="Arial" w:cs="Arial"/>
                <w:color w:val="000000" w:themeColor="text1"/>
                <w:sz w:val="20"/>
                <w:lang w:val="fr-CH"/>
              </w:rPr>
            </w:pPr>
          </w:p>
          <w:p w14:paraId="30B44366" w14:textId="77777777" w:rsidR="000361E1" w:rsidRPr="005E5973" w:rsidRDefault="000361E1" w:rsidP="00250459">
            <w:pPr>
              <w:rPr>
                <w:rFonts w:ascii="Arial" w:hAnsi="Arial" w:cs="Arial"/>
                <w:color w:val="000000" w:themeColor="text1"/>
                <w:sz w:val="20"/>
                <w:lang w:val="fr-CH"/>
              </w:rPr>
            </w:pPr>
          </w:p>
          <w:p w14:paraId="0E8A7AB9" w14:textId="77777777" w:rsidR="000361E1" w:rsidRPr="005E5973" w:rsidRDefault="000361E1" w:rsidP="00250459">
            <w:pPr>
              <w:rPr>
                <w:rFonts w:ascii="Arial" w:hAnsi="Arial" w:cs="Arial"/>
                <w:color w:val="000000" w:themeColor="text1"/>
                <w:sz w:val="20"/>
                <w:lang w:val="fr-CH"/>
              </w:rPr>
            </w:pPr>
          </w:p>
          <w:p w14:paraId="246DDF79" w14:textId="3B6E6F41" w:rsidR="000361E1" w:rsidRPr="005E5973" w:rsidRDefault="002079BB" w:rsidP="00250459">
            <w:pPr>
              <w:rPr>
                <w:rFonts w:ascii="Arial" w:hAnsi="Arial" w:cs="Arial"/>
                <w:color w:val="000000" w:themeColor="text1"/>
                <w:sz w:val="20"/>
                <w:lang w:val="fr-CH"/>
              </w:rPr>
            </w:pPr>
            <w:r w:rsidRPr="005E5973">
              <w:rPr>
                <w:rFonts w:ascii="Arial" w:hAnsi="Arial" w:cs="Arial"/>
                <w:color w:val="000000" w:themeColor="text1"/>
                <w:sz w:val="20"/>
                <w:lang w:val="fr-CH"/>
              </w:rPr>
              <w:t>Lieu, date</w:t>
            </w:r>
            <w:r w:rsidR="000361E1" w:rsidRPr="005E5973">
              <w:rPr>
                <w:rFonts w:ascii="Arial" w:hAnsi="Arial" w:cs="Arial"/>
                <w:color w:val="000000" w:themeColor="text1"/>
                <w:sz w:val="20"/>
                <w:lang w:val="fr-CH"/>
              </w:rPr>
              <w:t xml:space="preserve"> </w:t>
            </w:r>
          </w:p>
          <w:p w14:paraId="201DD9FB" w14:textId="77777777" w:rsidR="000361E1" w:rsidRPr="005E5973" w:rsidRDefault="000361E1" w:rsidP="00250459">
            <w:pPr>
              <w:rPr>
                <w:rFonts w:ascii="Arial" w:hAnsi="Arial" w:cs="Arial"/>
                <w:color w:val="000000" w:themeColor="text1"/>
                <w:sz w:val="20"/>
                <w:lang w:val="fr-CH"/>
              </w:rPr>
            </w:pPr>
          </w:p>
          <w:p w14:paraId="3440414F" w14:textId="77777777" w:rsidR="000361E1" w:rsidRPr="005E5973" w:rsidRDefault="000361E1" w:rsidP="00250459">
            <w:pPr>
              <w:rPr>
                <w:rFonts w:ascii="Arial" w:hAnsi="Arial" w:cs="Arial"/>
                <w:color w:val="000000" w:themeColor="text1"/>
                <w:sz w:val="20"/>
                <w:lang w:val="fr-CH"/>
              </w:rPr>
            </w:pPr>
          </w:p>
          <w:p w14:paraId="20164659" w14:textId="66F592BC" w:rsidR="000361E1" w:rsidRPr="005E5973" w:rsidRDefault="000A45C8" w:rsidP="00250459">
            <w:pPr>
              <w:rPr>
                <w:rFonts w:ascii="Arial" w:hAnsi="Arial" w:cs="Arial"/>
                <w:color w:val="000000" w:themeColor="text1"/>
                <w:sz w:val="20"/>
                <w:lang w:val="fr-CH"/>
              </w:rPr>
            </w:pPr>
            <w:r w:rsidRPr="005E5973">
              <w:rPr>
                <w:rFonts w:ascii="Arial" w:hAnsi="Arial" w:cs="Arial"/>
                <w:color w:val="000000" w:themeColor="text1"/>
                <w:sz w:val="20"/>
                <w:lang w:val="fr-CH"/>
              </w:rPr>
              <w:t>Signature</w:t>
            </w:r>
            <w:r w:rsidR="002079BB" w:rsidRPr="005E5973">
              <w:rPr>
                <w:rFonts w:ascii="Arial" w:hAnsi="Arial" w:cs="Arial"/>
                <w:color w:val="000000" w:themeColor="text1"/>
                <w:sz w:val="20"/>
                <w:lang w:val="fr-CH"/>
              </w:rPr>
              <w:t xml:space="preserve">                                                         </w:t>
            </w:r>
            <w:proofErr w:type="spellStart"/>
            <w:r w:rsidRPr="005E5973">
              <w:rPr>
                <w:rFonts w:ascii="Arial" w:hAnsi="Arial" w:cs="Arial"/>
                <w:color w:val="000000" w:themeColor="text1"/>
                <w:sz w:val="20"/>
                <w:lang w:val="fr-CH"/>
              </w:rPr>
              <w:t>Signature</w:t>
            </w:r>
            <w:proofErr w:type="spellEnd"/>
          </w:p>
          <w:p w14:paraId="30249AB9" w14:textId="77777777" w:rsidR="000361E1" w:rsidRPr="005E5973" w:rsidRDefault="000361E1" w:rsidP="00250459">
            <w:pPr>
              <w:rPr>
                <w:rFonts w:ascii="Arial" w:hAnsi="Arial" w:cs="Arial"/>
                <w:color w:val="000000" w:themeColor="text1"/>
                <w:sz w:val="20"/>
                <w:lang w:val="fr-CH"/>
              </w:rPr>
            </w:pPr>
          </w:p>
          <w:p w14:paraId="07507BD5" w14:textId="77777777" w:rsidR="000361E1" w:rsidRPr="005E5973" w:rsidRDefault="000361E1" w:rsidP="00250459">
            <w:pPr>
              <w:rPr>
                <w:rFonts w:ascii="Arial" w:hAnsi="Arial" w:cs="Arial"/>
                <w:color w:val="000000" w:themeColor="text1"/>
                <w:sz w:val="20"/>
                <w:lang w:val="fr-CH"/>
              </w:rPr>
            </w:pPr>
          </w:p>
          <w:p w14:paraId="12BC0E8D" w14:textId="77777777" w:rsidR="00C71CC2" w:rsidRPr="005E5973" w:rsidRDefault="00C71CC2" w:rsidP="00250459">
            <w:pPr>
              <w:rPr>
                <w:rFonts w:ascii="Arial" w:hAnsi="Arial" w:cs="Arial"/>
                <w:color w:val="000000" w:themeColor="text1"/>
                <w:sz w:val="20"/>
                <w:lang w:val="fr-CH"/>
              </w:rPr>
            </w:pPr>
          </w:p>
          <w:p w14:paraId="35AB5EF0" w14:textId="77777777" w:rsidR="000361E1" w:rsidRPr="005E5973" w:rsidRDefault="000361E1" w:rsidP="00250459">
            <w:pPr>
              <w:rPr>
                <w:rFonts w:ascii="Arial" w:hAnsi="Arial" w:cs="Arial"/>
                <w:color w:val="000000" w:themeColor="text1"/>
                <w:sz w:val="20"/>
                <w:lang w:val="fr-CH"/>
              </w:rPr>
            </w:pPr>
          </w:p>
          <w:p w14:paraId="27A42BBD" w14:textId="4AAD724C" w:rsidR="000361E1" w:rsidRPr="005E5973" w:rsidRDefault="002079BB" w:rsidP="00997FC2">
            <w:pPr>
              <w:rPr>
                <w:rFonts w:ascii="Arial" w:hAnsi="Arial" w:cs="Arial"/>
                <w:color w:val="000000" w:themeColor="text1"/>
                <w:sz w:val="20"/>
                <w:lang w:val="fr-CH"/>
              </w:rPr>
            </w:pPr>
            <w:r w:rsidRPr="005E5973">
              <w:rPr>
                <w:rFonts w:ascii="Arial" w:hAnsi="Arial" w:cs="Arial"/>
                <w:color w:val="000000" w:themeColor="text1"/>
                <w:sz w:val="20"/>
                <w:lang w:val="fr-CH"/>
              </w:rPr>
              <w:t>P</w:t>
            </w:r>
            <w:r w:rsidR="000A45C8" w:rsidRPr="005E5973">
              <w:rPr>
                <w:rFonts w:ascii="Arial" w:hAnsi="Arial" w:cs="Arial"/>
                <w:color w:val="000000" w:themeColor="text1"/>
                <w:sz w:val="20"/>
                <w:lang w:val="fr-CH"/>
              </w:rPr>
              <w:t>rés</w:t>
            </w:r>
            <w:r w:rsidRPr="005E5973">
              <w:rPr>
                <w:rFonts w:ascii="Arial" w:hAnsi="Arial" w:cs="Arial"/>
                <w:color w:val="000000" w:themeColor="text1"/>
                <w:sz w:val="20"/>
                <w:lang w:val="fr-CH"/>
              </w:rPr>
              <w:t>ident/-</w:t>
            </w:r>
            <w:r w:rsidR="000A45C8" w:rsidRPr="005E5973">
              <w:rPr>
                <w:rFonts w:ascii="Arial" w:hAnsi="Arial" w:cs="Arial"/>
                <w:color w:val="000000" w:themeColor="text1"/>
                <w:sz w:val="20"/>
                <w:lang w:val="fr-CH"/>
              </w:rPr>
              <w:t>e</w:t>
            </w:r>
            <w:r w:rsidRPr="005E5973">
              <w:rPr>
                <w:rFonts w:ascii="Arial" w:hAnsi="Arial" w:cs="Arial"/>
                <w:color w:val="000000" w:themeColor="text1"/>
                <w:sz w:val="20"/>
                <w:lang w:val="fr-CH"/>
              </w:rPr>
              <w:t xml:space="preserve">                                                       </w:t>
            </w:r>
            <w:r w:rsidR="000A45C8" w:rsidRPr="005E5973">
              <w:rPr>
                <w:rFonts w:ascii="Arial" w:hAnsi="Arial" w:cs="Arial"/>
                <w:color w:val="000000" w:themeColor="text1"/>
                <w:sz w:val="20"/>
                <w:lang w:val="fr-CH"/>
              </w:rPr>
              <w:t>Directeur/</w:t>
            </w:r>
            <w:r w:rsidRPr="005E5973">
              <w:rPr>
                <w:rFonts w:ascii="Arial" w:hAnsi="Arial" w:cs="Arial"/>
                <w:color w:val="000000" w:themeColor="text1"/>
                <w:sz w:val="20"/>
                <w:lang w:val="fr-CH"/>
              </w:rPr>
              <w:t>-</w:t>
            </w:r>
            <w:proofErr w:type="spellStart"/>
            <w:r w:rsidR="000A45C8" w:rsidRPr="005E5973">
              <w:rPr>
                <w:rFonts w:ascii="Arial" w:hAnsi="Arial" w:cs="Arial"/>
                <w:color w:val="000000" w:themeColor="text1"/>
                <w:sz w:val="20"/>
                <w:lang w:val="fr-CH"/>
              </w:rPr>
              <w:t>trice</w:t>
            </w:r>
            <w:proofErr w:type="spellEnd"/>
            <w:r w:rsidRPr="005E5973">
              <w:rPr>
                <w:rFonts w:ascii="Arial" w:hAnsi="Arial" w:cs="Arial"/>
                <w:color w:val="000000" w:themeColor="text1"/>
                <w:sz w:val="20"/>
                <w:lang w:val="fr-CH"/>
              </w:rPr>
              <w:br/>
              <w:t xml:space="preserve">Organisation                                                       </w:t>
            </w:r>
            <w:proofErr w:type="spellStart"/>
            <w:r w:rsidRPr="005E5973">
              <w:rPr>
                <w:rFonts w:ascii="Arial" w:hAnsi="Arial" w:cs="Arial"/>
                <w:color w:val="000000" w:themeColor="text1"/>
                <w:sz w:val="20"/>
                <w:lang w:val="fr-CH"/>
              </w:rPr>
              <w:t>Organisation</w:t>
            </w:r>
            <w:proofErr w:type="spellEnd"/>
          </w:p>
        </w:tc>
      </w:tr>
    </w:tbl>
    <w:p w14:paraId="3629740D" w14:textId="77777777" w:rsidR="00380964" w:rsidRPr="005E5973" w:rsidRDefault="00380964">
      <w:pPr>
        <w:rPr>
          <w:rFonts w:ascii="Arial" w:hAnsi="Arial" w:cs="Arial"/>
          <w:b/>
          <w:lang w:val="fr-CH"/>
        </w:rPr>
      </w:pPr>
    </w:p>
    <w:p w14:paraId="6F55F9C6" w14:textId="77777777" w:rsidR="00380964" w:rsidRPr="005E5973" w:rsidRDefault="00380964">
      <w:pPr>
        <w:rPr>
          <w:rFonts w:ascii="Arial" w:hAnsi="Arial" w:cs="Arial"/>
          <w:b/>
          <w:lang w:val="fr-CH"/>
        </w:rPr>
      </w:pPr>
    </w:p>
    <w:p w14:paraId="5386E3A7" w14:textId="77777777" w:rsidR="00C71CC2" w:rsidRPr="005E5973" w:rsidRDefault="00C71CC2">
      <w:pPr>
        <w:rPr>
          <w:rFonts w:ascii="Arial" w:hAnsi="Arial" w:cs="Arial"/>
          <w:b/>
          <w:lang w:val="fr-CH"/>
        </w:rPr>
      </w:pPr>
    </w:p>
    <w:p w14:paraId="78D872DA" w14:textId="77777777" w:rsidR="00C71CC2" w:rsidRPr="005E5973" w:rsidRDefault="00C71CC2">
      <w:pPr>
        <w:rPr>
          <w:rFonts w:ascii="Arial" w:hAnsi="Arial" w:cs="Arial"/>
          <w:b/>
          <w:lang w:val="fr-CH"/>
        </w:rPr>
      </w:pPr>
    </w:p>
    <w:p w14:paraId="22BB18B2" w14:textId="77777777" w:rsidR="00C71CC2" w:rsidRPr="005E5973" w:rsidRDefault="00C71CC2">
      <w:pPr>
        <w:rPr>
          <w:rFonts w:ascii="Arial" w:hAnsi="Arial" w:cs="Arial"/>
          <w:b/>
          <w:lang w:val="fr-CH"/>
        </w:rPr>
      </w:pPr>
    </w:p>
    <w:p w14:paraId="73B21C9C" w14:textId="77777777" w:rsidR="00A1673F" w:rsidRPr="005E5973" w:rsidRDefault="00A1673F" w:rsidP="00140095">
      <w:pPr>
        <w:rPr>
          <w:rFonts w:ascii="Arial" w:hAnsi="Arial" w:cs="Arial"/>
          <w:b/>
          <w:lang w:val="fr-CH"/>
        </w:rPr>
      </w:pPr>
    </w:p>
    <w:p w14:paraId="028DB43E" w14:textId="77777777" w:rsidR="00D20760" w:rsidRPr="005E5973" w:rsidRDefault="00D20760">
      <w:pPr>
        <w:rPr>
          <w:rFonts w:ascii="Arial" w:hAnsi="Arial" w:cs="Arial"/>
          <w:b/>
          <w:lang w:val="fr-CH"/>
        </w:rPr>
      </w:pPr>
      <w:r w:rsidRPr="005E5973">
        <w:rPr>
          <w:rFonts w:ascii="Arial" w:hAnsi="Arial" w:cs="Arial"/>
          <w:b/>
          <w:lang w:val="fr-CH"/>
        </w:rPr>
        <w:br w:type="page"/>
      </w:r>
    </w:p>
    <w:p w14:paraId="4328D739" w14:textId="25B72F9E" w:rsidR="00140095" w:rsidRPr="005E5973" w:rsidRDefault="002079BB" w:rsidP="00140095">
      <w:pPr>
        <w:rPr>
          <w:rFonts w:ascii="Arial" w:hAnsi="Arial" w:cs="Arial"/>
          <w:b/>
          <w:color w:val="FF0000"/>
          <w:sz w:val="20"/>
          <w:szCs w:val="20"/>
          <w:lang w:val="fr-CH"/>
        </w:rPr>
      </w:pPr>
      <w:r w:rsidRPr="005E5973">
        <w:rPr>
          <w:rFonts w:ascii="Arial" w:hAnsi="Arial" w:cs="Arial"/>
          <w:b/>
          <w:sz w:val="20"/>
          <w:szCs w:val="20"/>
          <w:lang w:val="fr-CH"/>
        </w:rPr>
        <w:lastRenderedPageBreak/>
        <w:t>Annexe 1</w:t>
      </w:r>
      <w:r w:rsidR="00140095" w:rsidRPr="005E5973">
        <w:rPr>
          <w:rFonts w:ascii="Arial" w:hAnsi="Arial" w:cs="Arial"/>
          <w:b/>
          <w:sz w:val="20"/>
          <w:szCs w:val="20"/>
          <w:lang w:val="fr-CH"/>
        </w:rPr>
        <w:tab/>
      </w:r>
      <w:r w:rsidRPr="005E5973">
        <w:rPr>
          <w:rFonts w:ascii="Arial" w:hAnsi="Arial" w:cs="Arial"/>
          <w:sz w:val="20"/>
          <w:szCs w:val="20"/>
          <w:lang w:val="fr-CH"/>
        </w:rPr>
        <w:t>au règlement en matière de placements</w:t>
      </w:r>
      <w:r w:rsidR="006379FC" w:rsidRPr="005E5973">
        <w:rPr>
          <w:rFonts w:ascii="Arial" w:hAnsi="Arial" w:cs="Arial"/>
          <w:sz w:val="20"/>
          <w:szCs w:val="20"/>
          <w:lang w:val="fr-CH"/>
        </w:rPr>
        <w:t xml:space="preserve"> </w:t>
      </w:r>
    </w:p>
    <w:p w14:paraId="10D5888A" w14:textId="77777777" w:rsidR="00A91B19" w:rsidRPr="005E5973" w:rsidRDefault="00A91B19" w:rsidP="00140095">
      <w:pPr>
        <w:rPr>
          <w:rFonts w:ascii="Arial" w:hAnsi="Arial" w:cs="Arial"/>
          <w:b/>
          <w:sz w:val="20"/>
          <w:szCs w:val="20"/>
          <w:u w:val="single"/>
          <w:lang w:val="fr-CH"/>
        </w:rPr>
      </w:pPr>
    </w:p>
    <w:p w14:paraId="6AE3E003" w14:textId="77777777" w:rsidR="00A91B19" w:rsidRPr="005E5973" w:rsidRDefault="00A91B19" w:rsidP="00140095">
      <w:pPr>
        <w:rPr>
          <w:rFonts w:ascii="Arial" w:hAnsi="Arial" w:cs="Arial"/>
          <w:b/>
          <w:sz w:val="20"/>
          <w:szCs w:val="20"/>
          <w:u w:val="single"/>
          <w:lang w:val="fr-CH"/>
        </w:rPr>
      </w:pPr>
    </w:p>
    <w:p w14:paraId="3227B1BE" w14:textId="0E23230D" w:rsidR="00140095" w:rsidRPr="005E5973" w:rsidRDefault="002079BB" w:rsidP="00140095">
      <w:pPr>
        <w:pStyle w:val="Listenabsatz"/>
        <w:numPr>
          <w:ilvl w:val="0"/>
          <w:numId w:val="13"/>
        </w:numPr>
        <w:rPr>
          <w:rFonts w:ascii="Arial" w:hAnsi="Arial" w:cs="Arial"/>
          <w:b/>
          <w:color w:val="000000" w:themeColor="text1"/>
          <w:sz w:val="20"/>
          <w:szCs w:val="20"/>
          <w:u w:val="single"/>
          <w:lang w:val="fr-CH"/>
        </w:rPr>
      </w:pPr>
      <w:r w:rsidRPr="005E5973">
        <w:rPr>
          <w:rFonts w:ascii="Arial" w:hAnsi="Arial" w:cs="Arial"/>
          <w:b/>
          <w:color w:val="000000" w:themeColor="text1"/>
          <w:sz w:val="20"/>
          <w:szCs w:val="20"/>
          <w:u w:val="single"/>
          <w:lang w:val="fr-CH"/>
        </w:rPr>
        <w:t>Structure stratégique des actifs et fourchettes pour les actifs financiers</w:t>
      </w:r>
    </w:p>
    <w:p w14:paraId="37DA9825" w14:textId="77777777" w:rsidR="00140095" w:rsidRPr="005E5973" w:rsidRDefault="00140095" w:rsidP="00140095">
      <w:pPr>
        <w:tabs>
          <w:tab w:val="left" w:pos="3363"/>
        </w:tabs>
        <w:rPr>
          <w:rFonts w:ascii="Arial" w:hAnsi="Arial" w:cs="Arial"/>
          <w:sz w:val="20"/>
          <w:szCs w:val="20"/>
          <w:lang w:val="fr-CH"/>
        </w:rPr>
      </w:pPr>
    </w:p>
    <w:tbl>
      <w:tblPr>
        <w:tblW w:w="7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3"/>
        <w:gridCol w:w="1418"/>
        <w:gridCol w:w="1276"/>
        <w:gridCol w:w="1368"/>
      </w:tblGrid>
      <w:tr w:rsidR="00ED2B33" w:rsidRPr="005E5973" w14:paraId="278C161E" w14:textId="77777777" w:rsidTr="00ED2B33">
        <w:tc>
          <w:tcPr>
            <w:tcW w:w="3853" w:type="dxa"/>
            <w:tcBorders>
              <w:bottom w:val="nil"/>
            </w:tcBorders>
            <w:shd w:val="clear" w:color="auto" w:fill="auto"/>
            <w:vAlign w:val="bottom"/>
          </w:tcPr>
          <w:p w14:paraId="580BA047" w14:textId="77777777" w:rsidR="005F5809" w:rsidRPr="005E5973" w:rsidRDefault="005F5809" w:rsidP="005F5809">
            <w:pPr>
              <w:rPr>
                <w:rFonts w:ascii="Arial" w:hAnsi="Arial" w:cs="Arial"/>
                <w:b/>
                <w:bCs/>
                <w:sz w:val="20"/>
                <w:szCs w:val="20"/>
                <w:lang w:val="fr-CH"/>
              </w:rPr>
            </w:pPr>
          </w:p>
        </w:tc>
        <w:tc>
          <w:tcPr>
            <w:tcW w:w="1418" w:type="dxa"/>
            <w:vMerge w:val="restart"/>
            <w:shd w:val="clear" w:color="auto" w:fill="auto"/>
            <w:vAlign w:val="bottom"/>
          </w:tcPr>
          <w:p w14:paraId="51109FA8" w14:textId="10EEFBCA" w:rsidR="005F5809" w:rsidRPr="005E5973" w:rsidRDefault="002079BB" w:rsidP="00997FC2">
            <w:pPr>
              <w:jc w:val="center"/>
              <w:rPr>
                <w:rFonts w:ascii="Arial" w:hAnsi="Arial" w:cs="Arial"/>
                <w:sz w:val="20"/>
                <w:szCs w:val="20"/>
                <w:lang w:val="fr-CH"/>
              </w:rPr>
            </w:pPr>
            <w:r w:rsidRPr="005E5973">
              <w:rPr>
                <w:rFonts w:ascii="Arial" w:hAnsi="Arial" w:cs="Arial"/>
                <w:sz w:val="20"/>
                <w:szCs w:val="20"/>
                <w:lang w:val="fr-CH"/>
              </w:rPr>
              <w:t>Structure stratégique des actifs</w:t>
            </w:r>
          </w:p>
        </w:tc>
        <w:tc>
          <w:tcPr>
            <w:tcW w:w="2644" w:type="dxa"/>
            <w:gridSpan w:val="2"/>
            <w:tcBorders>
              <w:bottom w:val="nil"/>
            </w:tcBorders>
            <w:shd w:val="clear" w:color="auto" w:fill="auto"/>
            <w:vAlign w:val="bottom"/>
          </w:tcPr>
          <w:p w14:paraId="05C9BE09" w14:textId="5907E60D" w:rsidR="005F5809" w:rsidRPr="005E5973" w:rsidRDefault="002079BB" w:rsidP="00997FC2">
            <w:pPr>
              <w:jc w:val="center"/>
              <w:rPr>
                <w:rFonts w:ascii="Arial" w:hAnsi="Arial" w:cs="Arial"/>
                <w:sz w:val="20"/>
                <w:szCs w:val="20"/>
                <w:lang w:val="fr-CH"/>
              </w:rPr>
            </w:pPr>
            <w:r w:rsidRPr="005E5973">
              <w:rPr>
                <w:rFonts w:ascii="Arial" w:hAnsi="Arial" w:cs="Arial"/>
                <w:sz w:val="20"/>
                <w:szCs w:val="20"/>
                <w:lang w:val="fr-CH"/>
              </w:rPr>
              <w:t>Fourchettes tactiques</w:t>
            </w:r>
          </w:p>
        </w:tc>
      </w:tr>
      <w:tr w:rsidR="00ED2B33" w:rsidRPr="005E5973" w14:paraId="4E99569E" w14:textId="77777777" w:rsidTr="00ED2B33">
        <w:tc>
          <w:tcPr>
            <w:tcW w:w="3853" w:type="dxa"/>
            <w:tcBorders>
              <w:top w:val="nil"/>
            </w:tcBorders>
            <w:shd w:val="clear" w:color="auto" w:fill="auto"/>
            <w:vAlign w:val="bottom"/>
          </w:tcPr>
          <w:p w14:paraId="4B2AC410" w14:textId="7A9D9785" w:rsidR="005F5809" w:rsidRPr="005E5973" w:rsidRDefault="002079BB" w:rsidP="005F5809">
            <w:pPr>
              <w:rPr>
                <w:rFonts w:ascii="Arial" w:hAnsi="Arial" w:cs="Arial"/>
                <w:b/>
                <w:bCs/>
                <w:sz w:val="20"/>
                <w:szCs w:val="20"/>
                <w:lang w:val="fr-CH"/>
              </w:rPr>
            </w:pPr>
            <w:r w:rsidRPr="005E5973">
              <w:rPr>
                <w:rFonts w:ascii="Arial" w:hAnsi="Arial" w:cs="Arial"/>
                <w:b/>
                <w:bCs/>
                <w:sz w:val="20"/>
                <w:szCs w:val="20"/>
                <w:lang w:val="fr-CH"/>
              </w:rPr>
              <w:t>Catégorie de placement</w:t>
            </w:r>
          </w:p>
          <w:p w14:paraId="4439553D" w14:textId="77777777" w:rsidR="00ED2B33" w:rsidRPr="005E5973" w:rsidRDefault="00ED2B33" w:rsidP="005F5809">
            <w:pPr>
              <w:rPr>
                <w:rFonts w:ascii="Arial" w:hAnsi="Arial" w:cs="Arial"/>
                <w:b/>
                <w:bCs/>
                <w:sz w:val="20"/>
                <w:szCs w:val="20"/>
                <w:lang w:val="fr-CH"/>
              </w:rPr>
            </w:pPr>
          </w:p>
        </w:tc>
        <w:tc>
          <w:tcPr>
            <w:tcW w:w="1418" w:type="dxa"/>
            <w:vMerge/>
            <w:shd w:val="clear" w:color="auto" w:fill="auto"/>
            <w:vAlign w:val="bottom"/>
          </w:tcPr>
          <w:p w14:paraId="6687E4EB" w14:textId="77777777" w:rsidR="005F5809" w:rsidRPr="005E5973" w:rsidRDefault="005F5809" w:rsidP="005F5809">
            <w:pPr>
              <w:jc w:val="center"/>
              <w:rPr>
                <w:rFonts w:ascii="Arial" w:hAnsi="Arial" w:cs="Arial"/>
                <w:sz w:val="20"/>
                <w:szCs w:val="20"/>
                <w:lang w:val="fr-CH"/>
              </w:rPr>
            </w:pPr>
          </w:p>
        </w:tc>
        <w:tc>
          <w:tcPr>
            <w:tcW w:w="1276" w:type="dxa"/>
            <w:tcBorders>
              <w:top w:val="nil"/>
            </w:tcBorders>
            <w:shd w:val="clear" w:color="auto" w:fill="auto"/>
            <w:vAlign w:val="bottom"/>
          </w:tcPr>
          <w:p w14:paraId="0665EA75" w14:textId="12A257E2" w:rsidR="005F5809" w:rsidRPr="005E5973" w:rsidRDefault="002079BB" w:rsidP="00997FC2">
            <w:pPr>
              <w:jc w:val="center"/>
              <w:rPr>
                <w:rFonts w:ascii="Arial" w:hAnsi="Arial" w:cs="Arial"/>
                <w:sz w:val="20"/>
                <w:szCs w:val="20"/>
                <w:lang w:val="fr-CH"/>
              </w:rPr>
            </w:pPr>
            <w:r w:rsidRPr="005E5973">
              <w:rPr>
                <w:rFonts w:ascii="Arial" w:hAnsi="Arial" w:cs="Arial"/>
                <w:sz w:val="20"/>
                <w:szCs w:val="20"/>
                <w:lang w:val="fr-CH"/>
              </w:rPr>
              <w:t>Minimum</w:t>
            </w:r>
          </w:p>
        </w:tc>
        <w:tc>
          <w:tcPr>
            <w:tcW w:w="1368" w:type="dxa"/>
            <w:tcBorders>
              <w:top w:val="nil"/>
            </w:tcBorders>
            <w:shd w:val="clear" w:color="auto" w:fill="auto"/>
            <w:vAlign w:val="bottom"/>
          </w:tcPr>
          <w:p w14:paraId="0EE0513D" w14:textId="48424714" w:rsidR="005F5809" w:rsidRPr="005E5973" w:rsidRDefault="002079BB" w:rsidP="00997FC2">
            <w:pPr>
              <w:jc w:val="center"/>
              <w:rPr>
                <w:rFonts w:ascii="Arial" w:hAnsi="Arial" w:cs="Arial"/>
                <w:sz w:val="20"/>
                <w:szCs w:val="20"/>
                <w:lang w:val="fr-CH"/>
              </w:rPr>
            </w:pPr>
            <w:r w:rsidRPr="005E5973">
              <w:rPr>
                <w:rFonts w:ascii="Arial" w:hAnsi="Arial" w:cs="Arial"/>
                <w:sz w:val="20"/>
                <w:szCs w:val="20"/>
                <w:lang w:val="fr-CH"/>
              </w:rPr>
              <w:t>Maximum</w:t>
            </w:r>
          </w:p>
        </w:tc>
      </w:tr>
      <w:tr w:rsidR="00ED2B33" w:rsidRPr="005E5973" w14:paraId="079A3738" w14:textId="77777777" w:rsidTr="00ED2B33">
        <w:tc>
          <w:tcPr>
            <w:tcW w:w="3853" w:type="dxa"/>
            <w:shd w:val="clear" w:color="auto" w:fill="auto"/>
            <w:vAlign w:val="bottom"/>
          </w:tcPr>
          <w:p w14:paraId="6B9CD3D9" w14:textId="77777777" w:rsidR="005F5809" w:rsidRPr="005E5973" w:rsidRDefault="005F5809" w:rsidP="005F5809">
            <w:pPr>
              <w:rPr>
                <w:rFonts w:ascii="Arial" w:hAnsi="Arial" w:cs="Arial"/>
                <w:sz w:val="20"/>
                <w:szCs w:val="20"/>
                <w:lang w:val="fr-CH"/>
              </w:rPr>
            </w:pPr>
            <w:r w:rsidRPr="005E5973">
              <w:rPr>
                <w:rFonts w:ascii="Arial" w:hAnsi="Arial" w:cs="Arial"/>
                <w:sz w:val="20"/>
                <w:szCs w:val="20"/>
                <w:lang w:val="fr-CH"/>
              </w:rPr>
              <w:t> </w:t>
            </w:r>
          </w:p>
        </w:tc>
        <w:tc>
          <w:tcPr>
            <w:tcW w:w="1418" w:type="dxa"/>
            <w:shd w:val="clear" w:color="auto" w:fill="auto"/>
            <w:vAlign w:val="bottom"/>
          </w:tcPr>
          <w:p w14:paraId="7A780D9C" w14:textId="77777777" w:rsidR="005F5809" w:rsidRPr="005E5973" w:rsidRDefault="005F5809" w:rsidP="005F5809">
            <w:pPr>
              <w:rPr>
                <w:rFonts w:ascii="Arial" w:hAnsi="Arial" w:cs="Arial"/>
                <w:sz w:val="20"/>
                <w:szCs w:val="20"/>
                <w:lang w:val="fr-CH"/>
              </w:rPr>
            </w:pPr>
            <w:r w:rsidRPr="005E5973">
              <w:rPr>
                <w:rFonts w:ascii="Arial" w:hAnsi="Arial" w:cs="Arial"/>
                <w:sz w:val="20"/>
                <w:szCs w:val="20"/>
                <w:lang w:val="fr-CH"/>
              </w:rPr>
              <w:t> </w:t>
            </w:r>
          </w:p>
        </w:tc>
        <w:tc>
          <w:tcPr>
            <w:tcW w:w="1276" w:type="dxa"/>
            <w:shd w:val="clear" w:color="auto" w:fill="auto"/>
            <w:vAlign w:val="bottom"/>
          </w:tcPr>
          <w:p w14:paraId="6AAF1B85" w14:textId="77777777" w:rsidR="005F5809" w:rsidRPr="005E5973" w:rsidRDefault="005F5809" w:rsidP="005F5809">
            <w:pPr>
              <w:rPr>
                <w:rFonts w:ascii="Arial" w:hAnsi="Arial" w:cs="Arial"/>
                <w:sz w:val="20"/>
                <w:szCs w:val="20"/>
                <w:lang w:val="fr-CH"/>
              </w:rPr>
            </w:pPr>
            <w:r w:rsidRPr="005E5973">
              <w:rPr>
                <w:rFonts w:ascii="Arial" w:hAnsi="Arial" w:cs="Arial"/>
                <w:sz w:val="20"/>
                <w:szCs w:val="20"/>
                <w:lang w:val="fr-CH"/>
              </w:rPr>
              <w:t> </w:t>
            </w:r>
          </w:p>
        </w:tc>
        <w:tc>
          <w:tcPr>
            <w:tcW w:w="1368" w:type="dxa"/>
            <w:shd w:val="clear" w:color="auto" w:fill="auto"/>
            <w:vAlign w:val="bottom"/>
          </w:tcPr>
          <w:p w14:paraId="5ABFB546" w14:textId="77777777" w:rsidR="005F5809" w:rsidRPr="005E5973" w:rsidRDefault="005F5809" w:rsidP="005F5809">
            <w:pPr>
              <w:rPr>
                <w:rFonts w:ascii="Arial" w:hAnsi="Arial" w:cs="Arial"/>
                <w:sz w:val="20"/>
                <w:szCs w:val="20"/>
                <w:lang w:val="fr-CH"/>
              </w:rPr>
            </w:pPr>
            <w:r w:rsidRPr="005E5973">
              <w:rPr>
                <w:rFonts w:ascii="Arial" w:hAnsi="Arial" w:cs="Arial"/>
                <w:sz w:val="20"/>
                <w:szCs w:val="20"/>
                <w:lang w:val="fr-CH"/>
              </w:rPr>
              <w:t> </w:t>
            </w:r>
          </w:p>
        </w:tc>
      </w:tr>
      <w:tr w:rsidR="00ED2B33" w:rsidRPr="005E5973" w14:paraId="61B9E930" w14:textId="77777777" w:rsidTr="00ED2B33">
        <w:tc>
          <w:tcPr>
            <w:tcW w:w="3853" w:type="dxa"/>
            <w:shd w:val="clear" w:color="auto" w:fill="auto"/>
            <w:vAlign w:val="bottom"/>
          </w:tcPr>
          <w:p w14:paraId="42450B54" w14:textId="38906484" w:rsidR="005F5809" w:rsidRPr="005E5973" w:rsidRDefault="00A81664" w:rsidP="00997FC2">
            <w:pPr>
              <w:rPr>
                <w:rFonts w:ascii="Arial" w:hAnsi="Arial" w:cs="Arial"/>
                <w:sz w:val="20"/>
                <w:szCs w:val="20"/>
                <w:lang w:val="fr-CH"/>
              </w:rPr>
            </w:pPr>
            <w:r w:rsidRPr="005E5973">
              <w:rPr>
                <w:rFonts w:ascii="Arial" w:hAnsi="Arial" w:cs="Arial"/>
                <w:sz w:val="20"/>
                <w:szCs w:val="20"/>
                <w:lang w:val="fr-CH"/>
              </w:rPr>
              <w:t>Fonds à court terme et liquidités (incl.</w:t>
            </w:r>
            <w:r w:rsidR="005F5809" w:rsidRPr="005E5973">
              <w:rPr>
                <w:rFonts w:ascii="Arial" w:hAnsi="Arial" w:cs="Arial"/>
                <w:sz w:val="20"/>
                <w:szCs w:val="20"/>
                <w:lang w:val="fr-CH"/>
              </w:rPr>
              <w:t xml:space="preserve"> </w:t>
            </w:r>
            <w:r w:rsidRPr="005E5973">
              <w:rPr>
                <w:rFonts w:ascii="Arial" w:hAnsi="Arial" w:cs="Arial"/>
                <w:sz w:val="20"/>
                <w:szCs w:val="20"/>
                <w:lang w:val="fr-CH"/>
              </w:rPr>
              <w:t>dépôts à terme d’une durée de moins d’1 an)</w:t>
            </w:r>
          </w:p>
        </w:tc>
        <w:tc>
          <w:tcPr>
            <w:tcW w:w="1418" w:type="dxa"/>
            <w:shd w:val="clear" w:color="auto" w:fill="auto"/>
            <w:vAlign w:val="center"/>
          </w:tcPr>
          <w:p w14:paraId="6DD060E4" w14:textId="77777777" w:rsidR="005F5809" w:rsidRPr="005E5973" w:rsidRDefault="000123B3" w:rsidP="00984D3B">
            <w:pPr>
              <w:jc w:val="right"/>
              <w:rPr>
                <w:rFonts w:ascii="Arial" w:hAnsi="Arial" w:cs="Arial"/>
                <w:b/>
                <w:bCs/>
                <w:sz w:val="20"/>
                <w:szCs w:val="20"/>
                <w:lang w:val="fr-CH"/>
              </w:rPr>
            </w:pPr>
            <w:r w:rsidRPr="005E5973">
              <w:rPr>
                <w:rFonts w:ascii="Arial" w:hAnsi="Arial" w:cs="Arial"/>
                <w:b/>
                <w:bCs/>
                <w:sz w:val="20"/>
                <w:szCs w:val="20"/>
                <w:lang w:val="fr-CH"/>
              </w:rPr>
              <w:t>5</w:t>
            </w:r>
            <w:r w:rsidR="005F5809" w:rsidRPr="005E5973">
              <w:rPr>
                <w:rFonts w:ascii="Arial" w:hAnsi="Arial" w:cs="Arial"/>
                <w:b/>
                <w:bCs/>
                <w:sz w:val="20"/>
                <w:szCs w:val="20"/>
                <w:lang w:val="fr-CH"/>
              </w:rPr>
              <w:t>%</w:t>
            </w:r>
          </w:p>
        </w:tc>
        <w:tc>
          <w:tcPr>
            <w:tcW w:w="1276" w:type="dxa"/>
            <w:shd w:val="clear" w:color="auto" w:fill="auto"/>
            <w:vAlign w:val="center"/>
          </w:tcPr>
          <w:p w14:paraId="6E2200B0" w14:textId="77777777" w:rsidR="005F5809" w:rsidRPr="005E5973" w:rsidRDefault="005F5809" w:rsidP="00984D3B">
            <w:pPr>
              <w:jc w:val="right"/>
              <w:rPr>
                <w:rFonts w:ascii="Arial" w:hAnsi="Arial" w:cs="Arial"/>
                <w:sz w:val="20"/>
                <w:szCs w:val="20"/>
                <w:lang w:val="fr-CH"/>
              </w:rPr>
            </w:pPr>
            <w:r w:rsidRPr="005E5973">
              <w:rPr>
                <w:rFonts w:ascii="Arial" w:hAnsi="Arial" w:cs="Arial"/>
                <w:sz w:val="20"/>
                <w:szCs w:val="20"/>
                <w:lang w:val="fr-CH"/>
              </w:rPr>
              <w:t>0%</w:t>
            </w:r>
          </w:p>
        </w:tc>
        <w:tc>
          <w:tcPr>
            <w:tcW w:w="1368" w:type="dxa"/>
            <w:shd w:val="clear" w:color="auto" w:fill="auto"/>
            <w:vAlign w:val="center"/>
          </w:tcPr>
          <w:p w14:paraId="29815580" w14:textId="77777777" w:rsidR="005F5809" w:rsidRPr="005E5973" w:rsidRDefault="00D66B84" w:rsidP="00984D3B">
            <w:pPr>
              <w:jc w:val="right"/>
              <w:rPr>
                <w:rFonts w:ascii="Arial" w:hAnsi="Arial" w:cs="Arial"/>
                <w:sz w:val="20"/>
                <w:szCs w:val="20"/>
                <w:lang w:val="fr-CH"/>
              </w:rPr>
            </w:pPr>
            <w:r w:rsidRPr="005E5973">
              <w:rPr>
                <w:rFonts w:ascii="Arial" w:hAnsi="Arial" w:cs="Arial"/>
                <w:sz w:val="20"/>
                <w:szCs w:val="20"/>
                <w:lang w:val="fr-CH"/>
              </w:rPr>
              <w:t>25</w:t>
            </w:r>
            <w:r w:rsidR="005F5809" w:rsidRPr="005E5973">
              <w:rPr>
                <w:rFonts w:ascii="Arial" w:hAnsi="Arial" w:cs="Arial"/>
                <w:sz w:val="20"/>
                <w:szCs w:val="20"/>
                <w:lang w:val="fr-CH"/>
              </w:rPr>
              <w:t xml:space="preserve">% </w:t>
            </w:r>
          </w:p>
        </w:tc>
      </w:tr>
      <w:tr w:rsidR="00ED2B33" w:rsidRPr="005E5973" w14:paraId="5C9B016E" w14:textId="77777777" w:rsidTr="00ED2B33">
        <w:tc>
          <w:tcPr>
            <w:tcW w:w="3853" w:type="dxa"/>
            <w:shd w:val="clear" w:color="auto" w:fill="auto"/>
            <w:vAlign w:val="bottom"/>
          </w:tcPr>
          <w:p w14:paraId="3433C089" w14:textId="6CF3205B" w:rsidR="005F5809" w:rsidRPr="005E5973" w:rsidRDefault="002079BB" w:rsidP="005F5809">
            <w:pPr>
              <w:rPr>
                <w:rFonts w:ascii="Arial" w:hAnsi="Arial" w:cs="Arial"/>
                <w:sz w:val="20"/>
                <w:szCs w:val="20"/>
                <w:lang w:val="fr-CH"/>
              </w:rPr>
            </w:pPr>
            <w:r w:rsidRPr="005E5973">
              <w:rPr>
                <w:rFonts w:ascii="Arial" w:hAnsi="Arial" w:cs="Arial"/>
                <w:sz w:val="20"/>
                <w:szCs w:val="20"/>
                <w:lang w:val="fr-CH"/>
              </w:rPr>
              <w:t>Obligations en CHF</w:t>
            </w:r>
          </w:p>
          <w:p w14:paraId="406E2967" w14:textId="246BB6C1" w:rsidR="005F5809" w:rsidRPr="005E5973" w:rsidRDefault="002079BB" w:rsidP="00997FC2">
            <w:pPr>
              <w:rPr>
                <w:rFonts w:ascii="Arial" w:hAnsi="Arial" w:cs="Arial"/>
                <w:color w:val="FF0000"/>
                <w:sz w:val="20"/>
                <w:szCs w:val="20"/>
                <w:lang w:val="fr-CH"/>
              </w:rPr>
            </w:pPr>
            <w:r w:rsidRPr="005E5973">
              <w:rPr>
                <w:rFonts w:ascii="Arial" w:hAnsi="Arial" w:cs="Arial"/>
                <w:sz w:val="20"/>
                <w:szCs w:val="20"/>
                <w:lang w:val="fr-CH"/>
              </w:rPr>
              <w:t>(in</w:t>
            </w:r>
            <w:r w:rsidR="00A81664" w:rsidRPr="005E5973">
              <w:rPr>
                <w:rFonts w:ascii="Arial" w:hAnsi="Arial" w:cs="Arial"/>
                <w:sz w:val="20"/>
                <w:szCs w:val="20"/>
                <w:lang w:val="fr-CH"/>
              </w:rPr>
              <w:t>c</w:t>
            </w:r>
            <w:r w:rsidRPr="005E5973">
              <w:rPr>
                <w:rFonts w:ascii="Arial" w:hAnsi="Arial" w:cs="Arial"/>
                <w:sz w:val="20"/>
                <w:szCs w:val="20"/>
                <w:lang w:val="fr-CH"/>
              </w:rPr>
              <w:t>l.</w:t>
            </w:r>
            <w:r w:rsidR="005F5809" w:rsidRPr="005E5973">
              <w:rPr>
                <w:rFonts w:ascii="Arial" w:hAnsi="Arial" w:cs="Arial"/>
                <w:sz w:val="20"/>
                <w:szCs w:val="20"/>
                <w:lang w:val="fr-CH"/>
              </w:rPr>
              <w:t xml:space="preserve"> </w:t>
            </w:r>
            <w:r w:rsidR="00A81664" w:rsidRPr="005E5973">
              <w:rPr>
                <w:rFonts w:ascii="Arial" w:hAnsi="Arial" w:cs="Arial"/>
                <w:sz w:val="20"/>
                <w:szCs w:val="20"/>
                <w:lang w:val="fr-CH"/>
              </w:rPr>
              <w:t>placements collectifs</w:t>
            </w:r>
            <w:r w:rsidRPr="005E5973">
              <w:rPr>
                <w:rFonts w:ascii="Arial" w:hAnsi="Arial" w:cs="Arial"/>
                <w:sz w:val="20"/>
                <w:szCs w:val="20"/>
                <w:lang w:val="fr-CH"/>
              </w:rPr>
              <w:t>)</w:t>
            </w:r>
          </w:p>
        </w:tc>
        <w:tc>
          <w:tcPr>
            <w:tcW w:w="1418" w:type="dxa"/>
            <w:shd w:val="clear" w:color="auto" w:fill="auto"/>
            <w:vAlign w:val="center"/>
          </w:tcPr>
          <w:p w14:paraId="5D3721E4" w14:textId="77777777" w:rsidR="005F5809" w:rsidRPr="005E5973" w:rsidRDefault="008678F0" w:rsidP="00984D3B">
            <w:pPr>
              <w:jc w:val="right"/>
              <w:rPr>
                <w:rFonts w:ascii="Arial" w:hAnsi="Arial" w:cs="Arial"/>
                <w:b/>
                <w:bCs/>
                <w:sz w:val="20"/>
                <w:szCs w:val="20"/>
                <w:lang w:val="fr-CH"/>
              </w:rPr>
            </w:pPr>
            <w:r w:rsidRPr="005E5973">
              <w:rPr>
                <w:rFonts w:ascii="Arial" w:hAnsi="Arial" w:cs="Arial"/>
                <w:b/>
                <w:bCs/>
                <w:sz w:val="20"/>
                <w:szCs w:val="20"/>
                <w:lang w:val="fr-CH"/>
              </w:rPr>
              <w:t>5</w:t>
            </w:r>
            <w:r w:rsidR="00EB5F2B" w:rsidRPr="005E5973">
              <w:rPr>
                <w:rFonts w:ascii="Arial" w:hAnsi="Arial" w:cs="Arial"/>
                <w:b/>
                <w:bCs/>
                <w:sz w:val="20"/>
                <w:szCs w:val="20"/>
                <w:lang w:val="fr-CH"/>
              </w:rPr>
              <w:t>5</w:t>
            </w:r>
            <w:r w:rsidR="005F5809" w:rsidRPr="005E5973">
              <w:rPr>
                <w:rFonts w:ascii="Arial" w:hAnsi="Arial" w:cs="Arial"/>
                <w:b/>
                <w:bCs/>
                <w:sz w:val="20"/>
                <w:szCs w:val="20"/>
                <w:lang w:val="fr-CH"/>
              </w:rPr>
              <w:t>%</w:t>
            </w:r>
          </w:p>
        </w:tc>
        <w:tc>
          <w:tcPr>
            <w:tcW w:w="1276" w:type="dxa"/>
            <w:shd w:val="clear" w:color="auto" w:fill="auto"/>
            <w:vAlign w:val="center"/>
          </w:tcPr>
          <w:p w14:paraId="271C20FD" w14:textId="77777777" w:rsidR="005F5809" w:rsidRPr="005E5973" w:rsidRDefault="005F5809" w:rsidP="00984D3B">
            <w:pPr>
              <w:jc w:val="right"/>
              <w:rPr>
                <w:rFonts w:ascii="Arial" w:hAnsi="Arial" w:cs="Arial"/>
                <w:sz w:val="20"/>
                <w:szCs w:val="20"/>
                <w:lang w:val="fr-CH"/>
              </w:rPr>
            </w:pPr>
            <w:r w:rsidRPr="005E5973">
              <w:rPr>
                <w:rFonts w:ascii="Arial" w:hAnsi="Arial" w:cs="Arial"/>
                <w:sz w:val="20"/>
                <w:szCs w:val="20"/>
                <w:lang w:val="fr-CH"/>
              </w:rPr>
              <w:t>30%</w:t>
            </w:r>
          </w:p>
        </w:tc>
        <w:tc>
          <w:tcPr>
            <w:tcW w:w="1368" w:type="dxa"/>
            <w:shd w:val="clear" w:color="auto" w:fill="auto"/>
            <w:vAlign w:val="center"/>
          </w:tcPr>
          <w:p w14:paraId="7D2A58BB" w14:textId="24698576" w:rsidR="005F5809" w:rsidRPr="005E5973" w:rsidRDefault="00D16788" w:rsidP="00984D3B">
            <w:pPr>
              <w:jc w:val="right"/>
              <w:rPr>
                <w:rFonts w:ascii="Arial" w:hAnsi="Arial" w:cs="Arial"/>
                <w:sz w:val="20"/>
                <w:szCs w:val="20"/>
                <w:lang w:val="fr-CH"/>
              </w:rPr>
            </w:pPr>
            <w:r w:rsidRPr="005E5973">
              <w:rPr>
                <w:rFonts w:ascii="Arial" w:hAnsi="Arial" w:cs="Arial"/>
                <w:sz w:val="20"/>
                <w:szCs w:val="20"/>
                <w:lang w:val="fr-CH"/>
              </w:rPr>
              <w:t>70</w:t>
            </w:r>
            <w:r w:rsidR="005F5809" w:rsidRPr="005E5973">
              <w:rPr>
                <w:rFonts w:ascii="Arial" w:hAnsi="Arial" w:cs="Arial"/>
                <w:sz w:val="20"/>
                <w:szCs w:val="20"/>
                <w:lang w:val="fr-CH"/>
              </w:rPr>
              <w:t>%</w:t>
            </w:r>
          </w:p>
        </w:tc>
      </w:tr>
      <w:tr w:rsidR="00ED2B33" w:rsidRPr="005E5973" w14:paraId="027946AA" w14:textId="77777777" w:rsidTr="00ED2B33">
        <w:tc>
          <w:tcPr>
            <w:tcW w:w="3853" w:type="dxa"/>
            <w:shd w:val="clear" w:color="auto" w:fill="auto"/>
            <w:vAlign w:val="bottom"/>
          </w:tcPr>
          <w:p w14:paraId="4192D0C6" w14:textId="13164122" w:rsidR="005F5809" w:rsidRPr="005E5973" w:rsidRDefault="002079BB" w:rsidP="00997FC2">
            <w:pPr>
              <w:rPr>
                <w:rFonts w:ascii="Arial" w:hAnsi="Arial" w:cs="Arial"/>
                <w:sz w:val="20"/>
                <w:szCs w:val="20"/>
                <w:lang w:val="fr-CH"/>
              </w:rPr>
            </w:pPr>
            <w:r w:rsidRPr="005E5973">
              <w:rPr>
                <w:rFonts w:ascii="Arial" w:hAnsi="Arial" w:cs="Arial"/>
                <w:sz w:val="20"/>
                <w:szCs w:val="20"/>
                <w:lang w:val="fr-CH"/>
              </w:rPr>
              <w:t>Obligations en devises</w:t>
            </w:r>
          </w:p>
        </w:tc>
        <w:tc>
          <w:tcPr>
            <w:tcW w:w="1418" w:type="dxa"/>
            <w:shd w:val="clear" w:color="auto" w:fill="auto"/>
            <w:vAlign w:val="center"/>
          </w:tcPr>
          <w:p w14:paraId="3860006A" w14:textId="77777777" w:rsidR="005F5809" w:rsidRPr="005E5973" w:rsidRDefault="00D66B84" w:rsidP="00984D3B">
            <w:pPr>
              <w:jc w:val="right"/>
              <w:rPr>
                <w:rFonts w:ascii="Arial" w:hAnsi="Arial" w:cs="Arial"/>
                <w:b/>
                <w:bCs/>
                <w:sz w:val="20"/>
                <w:szCs w:val="20"/>
                <w:lang w:val="fr-CH"/>
              </w:rPr>
            </w:pPr>
            <w:r w:rsidRPr="005E5973">
              <w:rPr>
                <w:rFonts w:ascii="Arial" w:hAnsi="Arial" w:cs="Arial"/>
                <w:b/>
                <w:bCs/>
                <w:sz w:val="20"/>
                <w:szCs w:val="20"/>
                <w:lang w:val="fr-CH"/>
              </w:rPr>
              <w:t>5</w:t>
            </w:r>
            <w:r w:rsidR="005F5809" w:rsidRPr="005E5973">
              <w:rPr>
                <w:rFonts w:ascii="Arial" w:hAnsi="Arial" w:cs="Arial"/>
                <w:b/>
                <w:bCs/>
                <w:sz w:val="20"/>
                <w:szCs w:val="20"/>
                <w:lang w:val="fr-CH"/>
              </w:rPr>
              <w:t>%</w:t>
            </w:r>
          </w:p>
        </w:tc>
        <w:tc>
          <w:tcPr>
            <w:tcW w:w="1276" w:type="dxa"/>
            <w:shd w:val="clear" w:color="auto" w:fill="auto"/>
            <w:vAlign w:val="center"/>
          </w:tcPr>
          <w:p w14:paraId="55FCBD18" w14:textId="77777777" w:rsidR="005F5809" w:rsidRPr="005E5973" w:rsidRDefault="005F5809" w:rsidP="00984D3B">
            <w:pPr>
              <w:jc w:val="right"/>
              <w:rPr>
                <w:rFonts w:ascii="Arial" w:hAnsi="Arial" w:cs="Arial"/>
                <w:sz w:val="20"/>
                <w:szCs w:val="20"/>
                <w:lang w:val="fr-CH"/>
              </w:rPr>
            </w:pPr>
            <w:r w:rsidRPr="005E5973">
              <w:rPr>
                <w:rFonts w:ascii="Arial" w:hAnsi="Arial" w:cs="Arial"/>
                <w:sz w:val="20"/>
                <w:szCs w:val="20"/>
                <w:lang w:val="fr-CH"/>
              </w:rPr>
              <w:t>0%</w:t>
            </w:r>
          </w:p>
        </w:tc>
        <w:tc>
          <w:tcPr>
            <w:tcW w:w="1368" w:type="dxa"/>
            <w:shd w:val="clear" w:color="auto" w:fill="auto"/>
            <w:vAlign w:val="center"/>
          </w:tcPr>
          <w:p w14:paraId="5BEF32B6" w14:textId="77777777" w:rsidR="005F5809" w:rsidRPr="005E5973" w:rsidRDefault="00D66B84" w:rsidP="00984D3B">
            <w:pPr>
              <w:jc w:val="right"/>
              <w:rPr>
                <w:rFonts w:ascii="Arial" w:hAnsi="Arial" w:cs="Arial"/>
                <w:sz w:val="20"/>
                <w:szCs w:val="20"/>
                <w:lang w:val="fr-CH"/>
              </w:rPr>
            </w:pPr>
            <w:r w:rsidRPr="005E5973">
              <w:rPr>
                <w:rFonts w:ascii="Arial" w:hAnsi="Arial" w:cs="Arial"/>
                <w:sz w:val="20"/>
                <w:szCs w:val="20"/>
                <w:lang w:val="fr-CH"/>
              </w:rPr>
              <w:t>1</w:t>
            </w:r>
            <w:r w:rsidR="008678F0" w:rsidRPr="005E5973">
              <w:rPr>
                <w:rFonts w:ascii="Arial" w:hAnsi="Arial" w:cs="Arial"/>
                <w:sz w:val="20"/>
                <w:szCs w:val="20"/>
                <w:lang w:val="fr-CH"/>
              </w:rPr>
              <w:t>5</w:t>
            </w:r>
            <w:r w:rsidR="005F5809" w:rsidRPr="005E5973">
              <w:rPr>
                <w:rFonts w:ascii="Arial" w:hAnsi="Arial" w:cs="Arial"/>
                <w:sz w:val="20"/>
                <w:szCs w:val="20"/>
                <w:lang w:val="fr-CH"/>
              </w:rPr>
              <w:t>%</w:t>
            </w:r>
          </w:p>
        </w:tc>
      </w:tr>
      <w:tr w:rsidR="00ED2B33" w:rsidRPr="005E5973" w14:paraId="0607367E" w14:textId="77777777" w:rsidTr="00ED2B33">
        <w:tc>
          <w:tcPr>
            <w:tcW w:w="3853" w:type="dxa"/>
            <w:shd w:val="clear" w:color="auto" w:fill="F2F2F2" w:themeFill="background1" w:themeFillShade="F2"/>
            <w:vAlign w:val="bottom"/>
          </w:tcPr>
          <w:p w14:paraId="0198935F" w14:textId="7C9A9170" w:rsidR="005F5809" w:rsidRPr="005E5973" w:rsidRDefault="002079BB" w:rsidP="005F5809">
            <w:pPr>
              <w:rPr>
                <w:rFonts w:ascii="Arial" w:hAnsi="Arial" w:cs="Arial"/>
                <w:sz w:val="20"/>
                <w:szCs w:val="20"/>
                <w:lang w:val="fr-CH"/>
              </w:rPr>
            </w:pPr>
            <w:r w:rsidRPr="005E5973">
              <w:rPr>
                <w:rFonts w:ascii="Arial" w:hAnsi="Arial" w:cs="Arial"/>
                <w:sz w:val="20"/>
                <w:szCs w:val="20"/>
                <w:lang w:val="fr-CH"/>
              </w:rPr>
              <w:t>Actions Suisse</w:t>
            </w:r>
          </w:p>
          <w:p w14:paraId="555A4C0D" w14:textId="77B50CA6" w:rsidR="005F5809" w:rsidRPr="005E5973" w:rsidRDefault="002079BB" w:rsidP="00997FC2">
            <w:pPr>
              <w:rPr>
                <w:rFonts w:ascii="Arial" w:hAnsi="Arial" w:cs="Arial"/>
                <w:color w:val="FF0000"/>
                <w:sz w:val="20"/>
                <w:szCs w:val="20"/>
                <w:lang w:val="fr-CH"/>
              </w:rPr>
            </w:pPr>
            <w:r w:rsidRPr="005E5973">
              <w:rPr>
                <w:rFonts w:ascii="Arial" w:hAnsi="Arial" w:cs="Arial"/>
                <w:sz w:val="20"/>
                <w:szCs w:val="20"/>
                <w:lang w:val="fr-CH"/>
              </w:rPr>
              <w:t>(in</w:t>
            </w:r>
            <w:r w:rsidR="00324D13" w:rsidRPr="005E5973">
              <w:rPr>
                <w:rFonts w:ascii="Arial" w:hAnsi="Arial" w:cs="Arial"/>
                <w:sz w:val="20"/>
                <w:szCs w:val="20"/>
                <w:lang w:val="fr-CH"/>
              </w:rPr>
              <w:t>c</w:t>
            </w:r>
            <w:r w:rsidRPr="005E5973">
              <w:rPr>
                <w:rFonts w:ascii="Arial" w:hAnsi="Arial" w:cs="Arial"/>
                <w:sz w:val="20"/>
                <w:szCs w:val="20"/>
                <w:lang w:val="fr-CH"/>
              </w:rPr>
              <w:t>l.</w:t>
            </w:r>
            <w:r w:rsidR="005F5809" w:rsidRPr="005E5973">
              <w:rPr>
                <w:rFonts w:ascii="Arial" w:hAnsi="Arial" w:cs="Arial"/>
                <w:sz w:val="20"/>
                <w:szCs w:val="20"/>
                <w:lang w:val="fr-CH"/>
              </w:rPr>
              <w:t xml:space="preserve"> </w:t>
            </w:r>
            <w:r w:rsidR="007E5D1B" w:rsidRPr="005E5973">
              <w:rPr>
                <w:rFonts w:ascii="Arial" w:hAnsi="Arial" w:cs="Arial"/>
                <w:sz w:val="20"/>
                <w:szCs w:val="20"/>
                <w:lang w:val="fr-CH"/>
              </w:rPr>
              <w:t>placements collectifs</w:t>
            </w:r>
            <w:r w:rsidRPr="005E5973">
              <w:rPr>
                <w:rFonts w:ascii="Arial" w:hAnsi="Arial" w:cs="Arial"/>
                <w:sz w:val="20"/>
                <w:szCs w:val="20"/>
                <w:lang w:val="fr-CH"/>
              </w:rPr>
              <w:t>)</w:t>
            </w:r>
          </w:p>
        </w:tc>
        <w:tc>
          <w:tcPr>
            <w:tcW w:w="1418" w:type="dxa"/>
            <w:shd w:val="clear" w:color="auto" w:fill="F2F2F2" w:themeFill="background1" w:themeFillShade="F2"/>
            <w:vAlign w:val="center"/>
          </w:tcPr>
          <w:p w14:paraId="04246377" w14:textId="77777777" w:rsidR="005F5809" w:rsidRPr="005E5973" w:rsidRDefault="00EA6DBA" w:rsidP="00984D3B">
            <w:pPr>
              <w:jc w:val="right"/>
              <w:rPr>
                <w:rFonts w:ascii="Arial" w:hAnsi="Arial" w:cs="Arial"/>
                <w:b/>
                <w:bCs/>
                <w:sz w:val="20"/>
                <w:szCs w:val="20"/>
                <w:lang w:val="fr-CH"/>
              </w:rPr>
            </w:pPr>
            <w:r w:rsidRPr="005E5973">
              <w:rPr>
                <w:rFonts w:ascii="Arial" w:hAnsi="Arial" w:cs="Arial"/>
                <w:b/>
                <w:bCs/>
                <w:sz w:val="20"/>
                <w:szCs w:val="20"/>
                <w:lang w:val="fr-CH"/>
              </w:rPr>
              <w:t>15</w:t>
            </w:r>
            <w:r w:rsidR="005F5809" w:rsidRPr="005E5973">
              <w:rPr>
                <w:rFonts w:ascii="Arial" w:hAnsi="Arial" w:cs="Arial"/>
                <w:b/>
                <w:bCs/>
                <w:sz w:val="20"/>
                <w:szCs w:val="20"/>
                <w:lang w:val="fr-CH"/>
              </w:rPr>
              <w:t>%</w:t>
            </w:r>
          </w:p>
        </w:tc>
        <w:tc>
          <w:tcPr>
            <w:tcW w:w="1276" w:type="dxa"/>
            <w:shd w:val="clear" w:color="auto" w:fill="F2F2F2" w:themeFill="background1" w:themeFillShade="F2"/>
            <w:vAlign w:val="center"/>
          </w:tcPr>
          <w:p w14:paraId="03087D50" w14:textId="77777777" w:rsidR="005F5809" w:rsidRPr="005E5973" w:rsidRDefault="00EA6DBA" w:rsidP="00984D3B">
            <w:pPr>
              <w:jc w:val="right"/>
              <w:rPr>
                <w:rFonts w:ascii="Arial" w:hAnsi="Arial" w:cs="Arial"/>
                <w:sz w:val="20"/>
                <w:szCs w:val="20"/>
                <w:lang w:val="fr-CH"/>
              </w:rPr>
            </w:pPr>
            <w:r w:rsidRPr="005E5973">
              <w:rPr>
                <w:rFonts w:ascii="Arial" w:hAnsi="Arial" w:cs="Arial"/>
                <w:sz w:val="20"/>
                <w:szCs w:val="20"/>
                <w:lang w:val="fr-CH"/>
              </w:rPr>
              <w:t>0</w:t>
            </w:r>
            <w:r w:rsidR="005F5809" w:rsidRPr="005E5973">
              <w:rPr>
                <w:rFonts w:ascii="Arial" w:hAnsi="Arial" w:cs="Arial"/>
                <w:sz w:val="20"/>
                <w:szCs w:val="20"/>
                <w:lang w:val="fr-CH"/>
              </w:rPr>
              <w:t>%</w:t>
            </w:r>
          </w:p>
        </w:tc>
        <w:tc>
          <w:tcPr>
            <w:tcW w:w="1368" w:type="dxa"/>
            <w:shd w:val="clear" w:color="auto" w:fill="F2F2F2" w:themeFill="background1" w:themeFillShade="F2"/>
            <w:vAlign w:val="center"/>
          </w:tcPr>
          <w:p w14:paraId="77BC1890" w14:textId="77777777" w:rsidR="005F5809" w:rsidRPr="005E5973" w:rsidRDefault="008678F0" w:rsidP="00984D3B">
            <w:pPr>
              <w:jc w:val="right"/>
              <w:rPr>
                <w:rFonts w:ascii="Arial" w:hAnsi="Arial" w:cs="Arial"/>
                <w:sz w:val="20"/>
                <w:szCs w:val="20"/>
                <w:lang w:val="fr-CH"/>
              </w:rPr>
            </w:pPr>
            <w:r w:rsidRPr="005E5973">
              <w:rPr>
                <w:rFonts w:ascii="Arial" w:hAnsi="Arial" w:cs="Arial"/>
                <w:sz w:val="20"/>
                <w:szCs w:val="20"/>
                <w:lang w:val="fr-CH"/>
              </w:rPr>
              <w:t>3</w:t>
            </w:r>
            <w:r w:rsidR="00EA6DBA" w:rsidRPr="005E5973">
              <w:rPr>
                <w:rFonts w:ascii="Arial" w:hAnsi="Arial" w:cs="Arial"/>
                <w:sz w:val="20"/>
                <w:szCs w:val="20"/>
                <w:lang w:val="fr-CH"/>
              </w:rPr>
              <w:t>0</w:t>
            </w:r>
            <w:r w:rsidR="005F5809" w:rsidRPr="005E5973">
              <w:rPr>
                <w:rFonts w:ascii="Arial" w:hAnsi="Arial" w:cs="Arial"/>
                <w:sz w:val="20"/>
                <w:szCs w:val="20"/>
                <w:lang w:val="fr-CH"/>
              </w:rPr>
              <w:t>%</w:t>
            </w:r>
          </w:p>
        </w:tc>
      </w:tr>
      <w:tr w:rsidR="00ED2B33" w:rsidRPr="005E5973" w14:paraId="085CB9E6" w14:textId="77777777" w:rsidTr="00ED2B33">
        <w:tc>
          <w:tcPr>
            <w:tcW w:w="3853" w:type="dxa"/>
            <w:shd w:val="clear" w:color="auto" w:fill="F2F2F2" w:themeFill="background1" w:themeFillShade="F2"/>
            <w:vAlign w:val="bottom"/>
          </w:tcPr>
          <w:p w14:paraId="5DC232A6" w14:textId="47C26911" w:rsidR="005F5809" w:rsidRPr="005E5973" w:rsidRDefault="002079BB" w:rsidP="005F5809">
            <w:pPr>
              <w:rPr>
                <w:rFonts w:ascii="Arial" w:hAnsi="Arial" w:cs="Arial"/>
                <w:sz w:val="20"/>
                <w:szCs w:val="20"/>
                <w:lang w:val="fr-CH"/>
              </w:rPr>
            </w:pPr>
            <w:r w:rsidRPr="005E5973">
              <w:rPr>
                <w:rFonts w:ascii="Arial" w:hAnsi="Arial" w:cs="Arial"/>
                <w:sz w:val="20"/>
                <w:szCs w:val="20"/>
                <w:lang w:val="fr-CH"/>
              </w:rPr>
              <w:t>Actions étranger</w:t>
            </w:r>
          </w:p>
          <w:p w14:paraId="7E1DF0F4" w14:textId="77A8D36C" w:rsidR="005F5809" w:rsidRPr="005E5973" w:rsidRDefault="002079BB" w:rsidP="00997FC2">
            <w:pPr>
              <w:rPr>
                <w:rFonts w:ascii="Arial" w:hAnsi="Arial" w:cs="Arial"/>
                <w:sz w:val="20"/>
                <w:szCs w:val="20"/>
                <w:lang w:val="fr-CH"/>
              </w:rPr>
            </w:pPr>
            <w:r w:rsidRPr="005E5973">
              <w:rPr>
                <w:rFonts w:ascii="Arial" w:hAnsi="Arial" w:cs="Arial"/>
                <w:sz w:val="20"/>
                <w:szCs w:val="20"/>
                <w:lang w:val="fr-CH"/>
              </w:rPr>
              <w:t>(in</w:t>
            </w:r>
            <w:r w:rsidR="00A81664" w:rsidRPr="005E5973">
              <w:rPr>
                <w:rFonts w:ascii="Arial" w:hAnsi="Arial" w:cs="Arial"/>
                <w:sz w:val="20"/>
                <w:szCs w:val="20"/>
                <w:lang w:val="fr-CH"/>
              </w:rPr>
              <w:t>c</w:t>
            </w:r>
            <w:r w:rsidRPr="005E5973">
              <w:rPr>
                <w:rFonts w:ascii="Arial" w:hAnsi="Arial" w:cs="Arial"/>
                <w:sz w:val="20"/>
                <w:szCs w:val="20"/>
                <w:lang w:val="fr-CH"/>
              </w:rPr>
              <w:t>l.</w:t>
            </w:r>
            <w:r w:rsidR="005F5809" w:rsidRPr="005E5973">
              <w:rPr>
                <w:rFonts w:ascii="Arial" w:hAnsi="Arial" w:cs="Arial"/>
                <w:sz w:val="20"/>
                <w:szCs w:val="20"/>
                <w:lang w:val="fr-CH"/>
              </w:rPr>
              <w:t xml:space="preserve"> </w:t>
            </w:r>
            <w:r w:rsidR="00A81664" w:rsidRPr="005E5973">
              <w:rPr>
                <w:rFonts w:ascii="Arial" w:hAnsi="Arial" w:cs="Arial"/>
                <w:sz w:val="20"/>
                <w:szCs w:val="20"/>
                <w:lang w:val="fr-CH"/>
              </w:rPr>
              <w:t>placements collectifs</w:t>
            </w:r>
            <w:r w:rsidRPr="005E5973">
              <w:rPr>
                <w:rFonts w:ascii="Arial" w:hAnsi="Arial" w:cs="Arial"/>
                <w:sz w:val="20"/>
                <w:szCs w:val="20"/>
                <w:lang w:val="fr-CH"/>
              </w:rPr>
              <w:t>)</w:t>
            </w:r>
          </w:p>
        </w:tc>
        <w:tc>
          <w:tcPr>
            <w:tcW w:w="1418" w:type="dxa"/>
            <w:shd w:val="clear" w:color="auto" w:fill="F2F2F2" w:themeFill="background1" w:themeFillShade="F2"/>
            <w:vAlign w:val="center"/>
          </w:tcPr>
          <w:p w14:paraId="5DB1BAFF" w14:textId="77777777" w:rsidR="005F5809" w:rsidRPr="005E5973" w:rsidRDefault="00603A83" w:rsidP="00984D3B">
            <w:pPr>
              <w:jc w:val="right"/>
              <w:rPr>
                <w:rFonts w:ascii="Arial" w:hAnsi="Arial" w:cs="Arial"/>
                <w:b/>
                <w:bCs/>
                <w:sz w:val="20"/>
                <w:szCs w:val="20"/>
                <w:lang w:val="fr-CH"/>
              </w:rPr>
            </w:pPr>
            <w:r w:rsidRPr="005E5973">
              <w:rPr>
                <w:rFonts w:ascii="Arial" w:hAnsi="Arial" w:cs="Arial"/>
                <w:b/>
                <w:bCs/>
                <w:sz w:val="20"/>
                <w:szCs w:val="20"/>
                <w:lang w:val="fr-CH"/>
              </w:rPr>
              <w:t>10</w:t>
            </w:r>
            <w:r w:rsidR="005F5809" w:rsidRPr="005E5973">
              <w:rPr>
                <w:rFonts w:ascii="Arial" w:hAnsi="Arial" w:cs="Arial"/>
                <w:b/>
                <w:bCs/>
                <w:sz w:val="20"/>
                <w:szCs w:val="20"/>
                <w:lang w:val="fr-CH"/>
              </w:rPr>
              <w:t>%</w:t>
            </w:r>
          </w:p>
        </w:tc>
        <w:tc>
          <w:tcPr>
            <w:tcW w:w="1276" w:type="dxa"/>
            <w:shd w:val="clear" w:color="auto" w:fill="F2F2F2" w:themeFill="background1" w:themeFillShade="F2"/>
            <w:vAlign w:val="center"/>
          </w:tcPr>
          <w:p w14:paraId="065FBA4F" w14:textId="77777777" w:rsidR="005F5809" w:rsidRPr="005E5973" w:rsidRDefault="005F5809" w:rsidP="00984D3B">
            <w:pPr>
              <w:jc w:val="right"/>
              <w:rPr>
                <w:rFonts w:ascii="Arial" w:hAnsi="Arial" w:cs="Arial"/>
                <w:sz w:val="20"/>
                <w:szCs w:val="20"/>
                <w:lang w:val="fr-CH"/>
              </w:rPr>
            </w:pPr>
            <w:r w:rsidRPr="005E5973">
              <w:rPr>
                <w:rFonts w:ascii="Arial" w:hAnsi="Arial" w:cs="Arial"/>
                <w:sz w:val="20"/>
                <w:szCs w:val="20"/>
                <w:lang w:val="fr-CH"/>
              </w:rPr>
              <w:t>0%</w:t>
            </w:r>
          </w:p>
        </w:tc>
        <w:tc>
          <w:tcPr>
            <w:tcW w:w="1368" w:type="dxa"/>
            <w:shd w:val="clear" w:color="auto" w:fill="F2F2F2" w:themeFill="background1" w:themeFillShade="F2"/>
            <w:vAlign w:val="center"/>
          </w:tcPr>
          <w:p w14:paraId="217B0ADE" w14:textId="34BC8D93" w:rsidR="005F5809" w:rsidRPr="005E5973" w:rsidRDefault="00D16788" w:rsidP="00984D3B">
            <w:pPr>
              <w:jc w:val="right"/>
              <w:rPr>
                <w:rFonts w:ascii="Arial" w:hAnsi="Arial" w:cs="Arial"/>
                <w:sz w:val="20"/>
                <w:szCs w:val="20"/>
                <w:lang w:val="fr-CH"/>
              </w:rPr>
            </w:pPr>
            <w:r w:rsidRPr="005E5973">
              <w:rPr>
                <w:rFonts w:ascii="Arial" w:hAnsi="Arial" w:cs="Arial"/>
                <w:sz w:val="20"/>
                <w:szCs w:val="20"/>
                <w:lang w:val="fr-CH"/>
              </w:rPr>
              <w:t>1</w:t>
            </w:r>
            <w:r w:rsidR="00EA6DBA" w:rsidRPr="005E5973">
              <w:rPr>
                <w:rFonts w:ascii="Arial" w:hAnsi="Arial" w:cs="Arial"/>
                <w:sz w:val="20"/>
                <w:szCs w:val="20"/>
                <w:lang w:val="fr-CH"/>
              </w:rPr>
              <w:t>5</w:t>
            </w:r>
            <w:r w:rsidR="005F5809" w:rsidRPr="005E5973">
              <w:rPr>
                <w:rFonts w:ascii="Arial" w:hAnsi="Arial" w:cs="Arial"/>
                <w:sz w:val="20"/>
                <w:szCs w:val="20"/>
                <w:lang w:val="fr-CH"/>
              </w:rPr>
              <w:t>%</w:t>
            </w:r>
          </w:p>
        </w:tc>
      </w:tr>
      <w:tr w:rsidR="00ED2B33" w:rsidRPr="005E5973" w14:paraId="00F64C92" w14:textId="77777777" w:rsidTr="00ED2B33">
        <w:tc>
          <w:tcPr>
            <w:tcW w:w="3853" w:type="dxa"/>
            <w:shd w:val="clear" w:color="auto" w:fill="auto"/>
            <w:vAlign w:val="bottom"/>
          </w:tcPr>
          <w:p w14:paraId="271656DD" w14:textId="4ADBD3D5" w:rsidR="005F5809" w:rsidRPr="005E5973" w:rsidRDefault="002079BB" w:rsidP="00997FC2">
            <w:pPr>
              <w:rPr>
                <w:rFonts w:ascii="Arial" w:hAnsi="Arial" w:cs="Arial"/>
                <w:sz w:val="20"/>
                <w:szCs w:val="20"/>
                <w:lang w:val="fr-CH"/>
              </w:rPr>
            </w:pPr>
            <w:r w:rsidRPr="005E5973">
              <w:rPr>
                <w:rFonts w:ascii="Arial" w:hAnsi="Arial" w:cs="Arial"/>
                <w:sz w:val="20"/>
                <w:szCs w:val="20"/>
                <w:lang w:val="fr-CH"/>
              </w:rPr>
              <w:t>Fonds de microfinance / placements alternatifs</w:t>
            </w:r>
          </w:p>
        </w:tc>
        <w:tc>
          <w:tcPr>
            <w:tcW w:w="1418" w:type="dxa"/>
            <w:shd w:val="clear" w:color="auto" w:fill="auto"/>
            <w:vAlign w:val="center"/>
          </w:tcPr>
          <w:p w14:paraId="1F0F196E" w14:textId="77777777" w:rsidR="005F5809" w:rsidRPr="005E5973" w:rsidRDefault="00EB5F2B" w:rsidP="00984D3B">
            <w:pPr>
              <w:jc w:val="right"/>
              <w:rPr>
                <w:rFonts w:ascii="Arial" w:hAnsi="Arial" w:cs="Arial"/>
                <w:b/>
                <w:bCs/>
                <w:sz w:val="20"/>
                <w:szCs w:val="20"/>
                <w:lang w:val="fr-CH"/>
              </w:rPr>
            </w:pPr>
            <w:r w:rsidRPr="005E5973">
              <w:rPr>
                <w:rFonts w:ascii="Arial" w:hAnsi="Arial" w:cs="Arial"/>
                <w:b/>
                <w:bCs/>
                <w:sz w:val="20"/>
                <w:szCs w:val="20"/>
                <w:lang w:val="fr-CH"/>
              </w:rPr>
              <w:t>5</w:t>
            </w:r>
            <w:r w:rsidR="005F5809" w:rsidRPr="005E5973">
              <w:rPr>
                <w:rFonts w:ascii="Arial" w:hAnsi="Arial" w:cs="Arial"/>
                <w:b/>
                <w:bCs/>
                <w:sz w:val="20"/>
                <w:szCs w:val="20"/>
                <w:lang w:val="fr-CH"/>
              </w:rPr>
              <w:t>%</w:t>
            </w:r>
          </w:p>
        </w:tc>
        <w:tc>
          <w:tcPr>
            <w:tcW w:w="1276" w:type="dxa"/>
            <w:shd w:val="clear" w:color="auto" w:fill="auto"/>
            <w:vAlign w:val="center"/>
          </w:tcPr>
          <w:p w14:paraId="214F4CD5" w14:textId="77777777" w:rsidR="005F5809" w:rsidRPr="005E5973" w:rsidRDefault="005F5809" w:rsidP="00984D3B">
            <w:pPr>
              <w:jc w:val="right"/>
              <w:rPr>
                <w:rFonts w:ascii="Arial" w:hAnsi="Arial" w:cs="Arial"/>
                <w:sz w:val="20"/>
                <w:szCs w:val="20"/>
                <w:lang w:val="fr-CH"/>
              </w:rPr>
            </w:pPr>
            <w:r w:rsidRPr="005E5973">
              <w:rPr>
                <w:rFonts w:ascii="Arial" w:hAnsi="Arial" w:cs="Arial"/>
                <w:sz w:val="20"/>
                <w:szCs w:val="20"/>
                <w:lang w:val="fr-CH"/>
              </w:rPr>
              <w:t>0%</w:t>
            </w:r>
          </w:p>
        </w:tc>
        <w:tc>
          <w:tcPr>
            <w:tcW w:w="1368" w:type="dxa"/>
            <w:shd w:val="clear" w:color="auto" w:fill="auto"/>
            <w:vAlign w:val="center"/>
          </w:tcPr>
          <w:p w14:paraId="7A433FDF" w14:textId="77777777" w:rsidR="005F5809" w:rsidRPr="005E5973" w:rsidRDefault="00EB5F2B" w:rsidP="00984D3B">
            <w:pPr>
              <w:jc w:val="right"/>
              <w:rPr>
                <w:rFonts w:ascii="Arial" w:hAnsi="Arial" w:cs="Arial"/>
                <w:sz w:val="20"/>
                <w:szCs w:val="20"/>
                <w:lang w:val="fr-CH"/>
              </w:rPr>
            </w:pPr>
            <w:r w:rsidRPr="005E5973">
              <w:rPr>
                <w:rFonts w:ascii="Arial" w:hAnsi="Arial" w:cs="Arial"/>
                <w:sz w:val="20"/>
                <w:szCs w:val="20"/>
                <w:lang w:val="fr-CH"/>
              </w:rPr>
              <w:t>10</w:t>
            </w:r>
            <w:r w:rsidR="005F5809" w:rsidRPr="005E5973">
              <w:rPr>
                <w:rFonts w:ascii="Arial" w:hAnsi="Arial" w:cs="Arial"/>
                <w:sz w:val="20"/>
                <w:szCs w:val="20"/>
                <w:lang w:val="fr-CH"/>
              </w:rPr>
              <w:t>%</w:t>
            </w:r>
          </w:p>
        </w:tc>
      </w:tr>
      <w:tr w:rsidR="00ED2B33" w:rsidRPr="005E5973" w14:paraId="2960D6E9" w14:textId="77777777" w:rsidTr="00ED2B33">
        <w:tc>
          <w:tcPr>
            <w:tcW w:w="3853" w:type="dxa"/>
            <w:shd w:val="clear" w:color="auto" w:fill="auto"/>
            <w:vAlign w:val="bottom"/>
          </w:tcPr>
          <w:p w14:paraId="03E42894" w14:textId="1E388F0B" w:rsidR="005F5809" w:rsidRPr="005E5973" w:rsidRDefault="002079BB" w:rsidP="00997FC2">
            <w:pPr>
              <w:rPr>
                <w:rFonts w:ascii="Arial" w:hAnsi="Arial" w:cs="Arial"/>
                <w:sz w:val="20"/>
                <w:szCs w:val="20"/>
                <w:lang w:val="fr-CH"/>
              </w:rPr>
            </w:pPr>
            <w:r w:rsidRPr="005E5973">
              <w:rPr>
                <w:rFonts w:ascii="Arial" w:hAnsi="Arial" w:cs="Arial"/>
                <w:sz w:val="20"/>
                <w:szCs w:val="20"/>
                <w:lang w:val="fr-CH"/>
              </w:rPr>
              <w:t>Immobilier Suisse (fonds et sociétés immobilières)</w:t>
            </w:r>
            <w:r w:rsidR="005F5809" w:rsidRPr="005E5973">
              <w:rPr>
                <w:rFonts w:ascii="Arial" w:hAnsi="Arial" w:cs="Arial"/>
                <w:sz w:val="20"/>
                <w:szCs w:val="20"/>
                <w:lang w:val="fr-CH"/>
              </w:rPr>
              <w:t xml:space="preserve"> </w:t>
            </w:r>
          </w:p>
        </w:tc>
        <w:tc>
          <w:tcPr>
            <w:tcW w:w="1418" w:type="dxa"/>
            <w:shd w:val="clear" w:color="auto" w:fill="auto"/>
            <w:vAlign w:val="center"/>
          </w:tcPr>
          <w:p w14:paraId="62F55755" w14:textId="77777777" w:rsidR="005F5809" w:rsidRPr="005E5973" w:rsidRDefault="00EA6DBA" w:rsidP="00984D3B">
            <w:pPr>
              <w:jc w:val="right"/>
              <w:rPr>
                <w:rFonts w:ascii="Arial" w:hAnsi="Arial" w:cs="Arial"/>
                <w:b/>
                <w:bCs/>
                <w:sz w:val="20"/>
                <w:szCs w:val="20"/>
                <w:lang w:val="fr-CH"/>
              </w:rPr>
            </w:pPr>
            <w:r w:rsidRPr="005E5973">
              <w:rPr>
                <w:rFonts w:ascii="Arial" w:hAnsi="Arial" w:cs="Arial"/>
                <w:b/>
                <w:bCs/>
                <w:sz w:val="20"/>
                <w:szCs w:val="20"/>
                <w:lang w:val="fr-CH"/>
              </w:rPr>
              <w:t>5</w:t>
            </w:r>
            <w:r w:rsidR="005F5809" w:rsidRPr="005E5973">
              <w:rPr>
                <w:rFonts w:ascii="Arial" w:hAnsi="Arial" w:cs="Arial"/>
                <w:b/>
                <w:bCs/>
                <w:sz w:val="20"/>
                <w:szCs w:val="20"/>
                <w:lang w:val="fr-CH"/>
              </w:rPr>
              <w:t>%</w:t>
            </w:r>
          </w:p>
        </w:tc>
        <w:tc>
          <w:tcPr>
            <w:tcW w:w="1276" w:type="dxa"/>
            <w:shd w:val="clear" w:color="auto" w:fill="auto"/>
            <w:vAlign w:val="center"/>
          </w:tcPr>
          <w:p w14:paraId="79244B99" w14:textId="77777777" w:rsidR="005F5809" w:rsidRPr="005E5973" w:rsidRDefault="005F5809" w:rsidP="00984D3B">
            <w:pPr>
              <w:jc w:val="right"/>
              <w:rPr>
                <w:rFonts w:ascii="Arial" w:hAnsi="Arial" w:cs="Arial"/>
                <w:sz w:val="20"/>
                <w:szCs w:val="20"/>
                <w:lang w:val="fr-CH"/>
              </w:rPr>
            </w:pPr>
            <w:r w:rsidRPr="005E5973">
              <w:rPr>
                <w:rFonts w:ascii="Arial" w:hAnsi="Arial" w:cs="Arial"/>
                <w:sz w:val="20"/>
                <w:szCs w:val="20"/>
                <w:lang w:val="fr-CH"/>
              </w:rPr>
              <w:t>0%</w:t>
            </w:r>
          </w:p>
        </w:tc>
        <w:tc>
          <w:tcPr>
            <w:tcW w:w="1368" w:type="dxa"/>
            <w:shd w:val="clear" w:color="auto" w:fill="auto"/>
            <w:vAlign w:val="center"/>
          </w:tcPr>
          <w:p w14:paraId="007526DF" w14:textId="77777777" w:rsidR="005F5809" w:rsidRPr="005E5973" w:rsidRDefault="00C15003" w:rsidP="00984D3B">
            <w:pPr>
              <w:jc w:val="right"/>
              <w:rPr>
                <w:rFonts w:ascii="Arial" w:hAnsi="Arial" w:cs="Arial"/>
                <w:sz w:val="20"/>
                <w:szCs w:val="20"/>
                <w:lang w:val="fr-CH"/>
              </w:rPr>
            </w:pPr>
            <w:r w:rsidRPr="005E5973">
              <w:rPr>
                <w:rFonts w:ascii="Arial" w:hAnsi="Arial" w:cs="Arial"/>
                <w:sz w:val="20"/>
                <w:szCs w:val="20"/>
                <w:lang w:val="fr-CH"/>
              </w:rPr>
              <w:t>10</w:t>
            </w:r>
            <w:r w:rsidR="005F5809" w:rsidRPr="005E5973">
              <w:rPr>
                <w:rFonts w:ascii="Arial" w:hAnsi="Arial" w:cs="Arial"/>
                <w:sz w:val="20"/>
                <w:szCs w:val="20"/>
                <w:lang w:val="fr-CH"/>
              </w:rPr>
              <w:t>%</w:t>
            </w:r>
          </w:p>
        </w:tc>
      </w:tr>
      <w:tr w:rsidR="00ED2B33" w:rsidRPr="005E5973" w14:paraId="0EB41E25" w14:textId="77777777" w:rsidTr="00ED2B33">
        <w:tc>
          <w:tcPr>
            <w:tcW w:w="3853" w:type="dxa"/>
            <w:shd w:val="clear" w:color="auto" w:fill="D9D9D9" w:themeFill="background1" w:themeFillShade="D9"/>
            <w:vAlign w:val="bottom"/>
          </w:tcPr>
          <w:p w14:paraId="03216E55" w14:textId="77777777" w:rsidR="005F5809" w:rsidRPr="005E5973" w:rsidRDefault="005F5809" w:rsidP="005F5809">
            <w:pPr>
              <w:rPr>
                <w:rFonts w:ascii="Arial" w:hAnsi="Arial" w:cs="Arial"/>
                <w:b/>
                <w:bCs/>
                <w:sz w:val="20"/>
                <w:szCs w:val="20"/>
                <w:lang w:val="fr-CH"/>
              </w:rPr>
            </w:pPr>
          </w:p>
          <w:p w14:paraId="34926F03" w14:textId="40832D3A" w:rsidR="005F5809" w:rsidRPr="005E5973" w:rsidRDefault="002079BB" w:rsidP="005F5809">
            <w:pPr>
              <w:rPr>
                <w:rFonts w:ascii="Arial" w:hAnsi="Arial" w:cs="Arial"/>
                <w:b/>
                <w:bCs/>
                <w:sz w:val="20"/>
                <w:szCs w:val="20"/>
                <w:lang w:val="fr-CH"/>
              </w:rPr>
            </w:pPr>
            <w:r w:rsidRPr="005E5973">
              <w:rPr>
                <w:rFonts w:ascii="Arial" w:hAnsi="Arial" w:cs="Arial"/>
                <w:b/>
                <w:bCs/>
                <w:sz w:val="20"/>
                <w:szCs w:val="20"/>
                <w:lang w:val="fr-CH"/>
              </w:rPr>
              <w:t>TOTAL</w:t>
            </w:r>
          </w:p>
          <w:p w14:paraId="70B983CB" w14:textId="77777777" w:rsidR="005F5809" w:rsidRPr="005E5973" w:rsidRDefault="005F5809" w:rsidP="005F5809">
            <w:pPr>
              <w:rPr>
                <w:rFonts w:ascii="Arial" w:hAnsi="Arial" w:cs="Arial"/>
                <w:b/>
                <w:bCs/>
                <w:sz w:val="20"/>
                <w:szCs w:val="20"/>
                <w:lang w:val="fr-CH"/>
              </w:rPr>
            </w:pPr>
          </w:p>
        </w:tc>
        <w:tc>
          <w:tcPr>
            <w:tcW w:w="1418" w:type="dxa"/>
            <w:shd w:val="clear" w:color="auto" w:fill="D9D9D9" w:themeFill="background1" w:themeFillShade="D9"/>
            <w:vAlign w:val="center"/>
          </w:tcPr>
          <w:p w14:paraId="1801F6B3" w14:textId="77777777" w:rsidR="005F5809" w:rsidRPr="005E5973" w:rsidRDefault="005F5809" w:rsidP="00984D3B">
            <w:pPr>
              <w:jc w:val="right"/>
              <w:rPr>
                <w:rFonts w:ascii="Arial" w:hAnsi="Arial" w:cs="Arial"/>
                <w:b/>
                <w:bCs/>
                <w:sz w:val="20"/>
                <w:szCs w:val="20"/>
                <w:lang w:val="fr-CH"/>
              </w:rPr>
            </w:pPr>
            <w:r w:rsidRPr="005E5973">
              <w:rPr>
                <w:rFonts w:ascii="Arial" w:hAnsi="Arial" w:cs="Arial"/>
                <w:b/>
                <w:bCs/>
                <w:sz w:val="20"/>
                <w:szCs w:val="20"/>
                <w:lang w:val="fr-CH"/>
              </w:rPr>
              <w:t>100%</w:t>
            </w:r>
          </w:p>
        </w:tc>
        <w:tc>
          <w:tcPr>
            <w:tcW w:w="1276" w:type="dxa"/>
            <w:shd w:val="clear" w:color="auto" w:fill="D9D9D9" w:themeFill="background1" w:themeFillShade="D9"/>
            <w:vAlign w:val="center"/>
          </w:tcPr>
          <w:p w14:paraId="1E61FB22" w14:textId="77777777" w:rsidR="005F5809" w:rsidRPr="005E5973" w:rsidRDefault="005F5809" w:rsidP="00984D3B">
            <w:pPr>
              <w:jc w:val="right"/>
              <w:rPr>
                <w:rFonts w:ascii="Arial" w:hAnsi="Arial" w:cs="Arial"/>
                <w:sz w:val="20"/>
                <w:szCs w:val="20"/>
                <w:lang w:val="fr-CH"/>
              </w:rPr>
            </w:pPr>
          </w:p>
        </w:tc>
        <w:tc>
          <w:tcPr>
            <w:tcW w:w="1368" w:type="dxa"/>
            <w:shd w:val="clear" w:color="auto" w:fill="D9D9D9" w:themeFill="background1" w:themeFillShade="D9"/>
            <w:vAlign w:val="center"/>
          </w:tcPr>
          <w:p w14:paraId="2FEC137B" w14:textId="77777777" w:rsidR="005F5809" w:rsidRPr="005E5973" w:rsidRDefault="005F5809" w:rsidP="00984D3B">
            <w:pPr>
              <w:jc w:val="right"/>
              <w:rPr>
                <w:rFonts w:ascii="Arial" w:hAnsi="Arial" w:cs="Arial"/>
                <w:sz w:val="20"/>
                <w:szCs w:val="20"/>
                <w:lang w:val="fr-CH"/>
              </w:rPr>
            </w:pPr>
          </w:p>
        </w:tc>
      </w:tr>
    </w:tbl>
    <w:p w14:paraId="2EF5175B" w14:textId="77777777" w:rsidR="005F5809" w:rsidRPr="005E5973" w:rsidRDefault="005F5809" w:rsidP="00140095">
      <w:pPr>
        <w:rPr>
          <w:rFonts w:ascii="Arial" w:hAnsi="Arial" w:cs="Arial"/>
          <w:sz w:val="20"/>
          <w:szCs w:val="20"/>
          <w:lang w:val="fr-CH"/>
        </w:rPr>
      </w:pPr>
    </w:p>
    <w:p w14:paraId="0B8DD474" w14:textId="77777777" w:rsidR="00AD0223" w:rsidRPr="005E5973" w:rsidRDefault="00AD0223" w:rsidP="00140095">
      <w:pPr>
        <w:rPr>
          <w:rFonts w:ascii="Arial" w:hAnsi="Arial" w:cs="Arial"/>
          <w:sz w:val="20"/>
          <w:szCs w:val="20"/>
          <w:lang w:val="fr-CH"/>
        </w:rPr>
      </w:pPr>
    </w:p>
    <w:tbl>
      <w:tblPr>
        <w:tblW w:w="7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3"/>
        <w:gridCol w:w="1418"/>
        <w:gridCol w:w="1390"/>
        <w:gridCol w:w="1254"/>
      </w:tblGrid>
      <w:tr w:rsidR="00ED2B33" w:rsidRPr="005E5973" w14:paraId="6FD8687F" w14:textId="77777777" w:rsidTr="00ED2B33">
        <w:tc>
          <w:tcPr>
            <w:tcW w:w="3853" w:type="dxa"/>
            <w:tcBorders>
              <w:bottom w:val="nil"/>
            </w:tcBorders>
            <w:shd w:val="clear" w:color="auto" w:fill="auto"/>
            <w:vAlign w:val="bottom"/>
          </w:tcPr>
          <w:p w14:paraId="5B1C2A2D" w14:textId="77777777" w:rsidR="00AD0223" w:rsidRPr="005E5973" w:rsidRDefault="00AD0223" w:rsidP="00AD0223">
            <w:pPr>
              <w:rPr>
                <w:rFonts w:ascii="Arial" w:hAnsi="Arial" w:cs="Arial"/>
                <w:b/>
                <w:bCs/>
                <w:sz w:val="20"/>
                <w:szCs w:val="20"/>
                <w:lang w:val="fr-CH"/>
              </w:rPr>
            </w:pPr>
          </w:p>
        </w:tc>
        <w:tc>
          <w:tcPr>
            <w:tcW w:w="1418" w:type="dxa"/>
            <w:vMerge w:val="restart"/>
            <w:shd w:val="clear" w:color="auto" w:fill="auto"/>
            <w:vAlign w:val="bottom"/>
          </w:tcPr>
          <w:p w14:paraId="628AD77D" w14:textId="592B34A2" w:rsidR="00AD0223" w:rsidRPr="005E5973" w:rsidRDefault="002079BB" w:rsidP="00997FC2">
            <w:pPr>
              <w:jc w:val="center"/>
              <w:rPr>
                <w:rFonts w:ascii="Arial" w:hAnsi="Arial" w:cs="Arial"/>
                <w:sz w:val="20"/>
                <w:szCs w:val="20"/>
                <w:lang w:val="fr-CH"/>
              </w:rPr>
            </w:pPr>
            <w:r w:rsidRPr="005E5973">
              <w:rPr>
                <w:rFonts w:ascii="Arial" w:hAnsi="Arial" w:cs="Arial"/>
                <w:sz w:val="20"/>
                <w:szCs w:val="20"/>
                <w:lang w:val="fr-CH"/>
              </w:rPr>
              <w:t>Structure stratégique des actifs</w:t>
            </w:r>
          </w:p>
        </w:tc>
        <w:tc>
          <w:tcPr>
            <w:tcW w:w="2644" w:type="dxa"/>
            <w:gridSpan w:val="2"/>
            <w:tcBorders>
              <w:bottom w:val="nil"/>
            </w:tcBorders>
            <w:shd w:val="clear" w:color="auto" w:fill="auto"/>
            <w:vAlign w:val="bottom"/>
          </w:tcPr>
          <w:p w14:paraId="0379B9C5" w14:textId="331D7926" w:rsidR="00AD0223" w:rsidRPr="005E5973" w:rsidRDefault="002079BB" w:rsidP="00997FC2">
            <w:pPr>
              <w:jc w:val="center"/>
              <w:rPr>
                <w:rFonts w:ascii="Arial" w:hAnsi="Arial" w:cs="Arial"/>
                <w:sz w:val="20"/>
                <w:szCs w:val="20"/>
                <w:lang w:val="fr-CH"/>
              </w:rPr>
            </w:pPr>
            <w:r w:rsidRPr="005E5973">
              <w:rPr>
                <w:rFonts w:ascii="Arial" w:hAnsi="Arial" w:cs="Arial"/>
                <w:sz w:val="20"/>
                <w:szCs w:val="20"/>
                <w:lang w:val="fr-CH"/>
              </w:rPr>
              <w:t>Fourchettes tactiques</w:t>
            </w:r>
          </w:p>
        </w:tc>
      </w:tr>
      <w:tr w:rsidR="00ED2B33" w:rsidRPr="005E5973" w14:paraId="0274921E" w14:textId="77777777" w:rsidTr="00ED2B33">
        <w:tc>
          <w:tcPr>
            <w:tcW w:w="3853" w:type="dxa"/>
            <w:tcBorders>
              <w:top w:val="nil"/>
            </w:tcBorders>
            <w:shd w:val="clear" w:color="auto" w:fill="auto"/>
            <w:vAlign w:val="bottom"/>
          </w:tcPr>
          <w:p w14:paraId="7777D4C7" w14:textId="5BACBABE" w:rsidR="00ED2B33" w:rsidRPr="005E5973" w:rsidRDefault="002079BB" w:rsidP="00AD0223">
            <w:pPr>
              <w:rPr>
                <w:rFonts w:ascii="Arial" w:hAnsi="Arial" w:cs="Arial"/>
                <w:b/>
                <w:bCs/>
                <w:sz w:val="20"/>
                <w:szCs w:val="20"/>
                <w:lang w:val="fr-CH"/>
              </w:rPr>
            </w:pPr>
            <w:r w:rsidRPr="005E5973">
              <w:rPr>
                <w:rFonts w:ascii="Arial" w:hAnsi="Arial" w:cs="Arial"/>
                <w:b/>
                <w:bCs/>
                <w:sz w:val="20"/>
                <w:szCs w:val="20"/>
                <w:lang w:val="fr-CH"/>
              </w:rPr>
              <w:t>Structure monétaire</w:t>
            </w:r>
          </w:p>
          <w:p w14:paraId="5C2DB73D" w14:textId="77777777" w:rsidR="00ED2B33" w:rsidRPr="005E5973" w:rsidRDefault="00ED2B33" w:rsidP="00AD0223">
            <w:pPr>
              <w:rPr>
                <w:rFonts w:ascii="Arial" w:hAnsi="Arial" w:cs="Arial"/>
                <w:b/>
                <w:bCs/>
                <w:sz w:val="20"/>
                <w:szCs w:val="20"/>
                <w:lang w:val="fr-CH"/>
              </w:rPr>
            </w:pPr>
          </w:p>
        </w:tc>
        <w:tc>
          <w:tcPr>
            <w:tcW w:w="1418" w:type="dxa"/>
            <w:vMerge/>
            <w:shd w:val="clear" w:color="auto" w:fill="auto"/>
            <w:vAlign w:val="bottom"/>
          </w:tcPr>
          <w:p w14:paraId="60DB769A" w14:textId="77777777" w:rsidR="00ED2B33" w:rsidRPr="005E5973" w:rsidRDefault="00ED2B33" w:rsidP="00AD0223">
            <w:pPr>
              <w:jc w:val="center"/>
              <w:rPr>
                <w:rFonts w:ascii="Arial" w:hAnsi="Arial" w:cs="Arial"/>
                <w:sz w:val="20"/>
                <w:szCs w:val="20"/>
                <w:lang w:val="fr-CH"/>
              </w:rPr>
            </w:pPr>
          </w:p>
        </w:tc>
        <w:tc>
          <w:tcPr>
            <w:tcW w:w="1390" w:type="dxa"/>
            <w:tcBorders>
              <w:top w:val="nil"/>
            </w:tcBorders>
            <w:shd w:val="clear" w:color="auto" w:fill="auto"/>
            <w:vAlign w:val="bottom"/>
          </w:tcPr>
          <w:p w14:paraId="5E61CACF" w14:textId="1D6A4A3C" w:rsidR="00ED2B33" w:rsidRPr="005E5973" w:rsidRDefault="002079BB" w:rsidP="00997FC2">
            <w:pPr>
              <w:jc w:val="center"/>
              <w:rPr>
                <w:rFonts w:ascii="Arial" w:hAnsi="Arial" w:cs="Arial"/>
                <w:sz w:val="20"/>
                <w:szCs w:val="20"/>
                <w:lang w:val="fr-CH"/>
              </w:rPr>
            </w:pPr>
            <w:r w:rsidRPr="005E5973">
              <w:rPr>
                <w:rFonts w:ascii="Arial" w:hAnsi="Arial" w:cs="Arial"/>
                <w:sz w:val="20"/>
                <w:szCs w:val="20"/>
                <w:lang w:val="fr-CH"/>
              </w:rPr>
              <w:t>Minimum</w:t>
            </w:r>
          </w:p>
        </w:tc>
        <w:tc>
          <w:tcPr>
            <w:tcW w:w="1254" w:type="dxa"/>
            <w:tcBorders>
              <w:top w:val="nil"/>
            </w:tcBorders>
            <w:shd w:val="clear" w:color="auto" w:fill="auto"/>
            <w:vAlign w:val="bottom"/>
          </w:tcPr>
          <w:p w14:paraId="68AE515F" w14:textId="7417D649" w:rsidR="00ED2B33" w:rsidRPr="005E5973" w:rsidRDefault="002079BB" w:rsidP="00997FC2">
            <w:pPr>
              <w:jc w:val="center"/>
              <w:rPr>
                <w:rFonts w:ascii="Arial" w:hAnsi="Arial" w:cs="Arial"/>
                <w:sz w:val="20"/>
                <w:szCs w:val="20"/>
                <w:lang w:val="fr-CH"/>
              </w:rPr>
            </w:pPr>
            <w:r w:rsidRPr="005E5973">
              <w:rPr>
                <w:rFonts w:ascii="Arial" w:hAnsi="Arial" w:cs="Arial"/>
                <w:sz w:val="20"/>
                <w:szCs w:val="20"/>
                <w:lang w:val="fr-CH"/>
              </w:rPr>
              <w:t>Maximum</w:t>
            </w:r>
          </w:p>
        </w:tc>
      </w:tr>
      <w:tr w:rsidR="00ED2B33" w:rsidRPr="005E5973" w14:paraId="49FE2067" w14:textId="77777777" w:rsidTr="00ED2B33">
        <w:tc>
          <w:tcPr>
            <w:tcW w:w="3853" w:type="dxa"/>
            <w:shd w:val="clear" w:color="auto" w:fill="auto"/>
            <w:vAlign w:val="bottom"/>
          </w:tcPr>
          <w:p w14:paraId="4D162BE4" w14:textId="77777777" w:rsidR="00AD0223" w:rsidRPr="005E5973" w:rsidRDefault="00AD0223" w:rsidP="00AD0223">
            <w:pPr>
              <w:rPr>
                <w:rFonts w:ascii="Arial" w:hAnsi="Arial" w:cs="Arial"/>
                <w:sz w:val="20"/>
                <w:szCs w:val="20"/>
                <w:lang w:val="fr-CH"/>
              </w:rPr>
            </w:pPr>
            <w:r w:rsidRPr="005E5973">
              <w:rPr>
                <w:rFonts w:ascii="Arial" w:hAnsi="Arial" w:cs="Arial"/>
                <w:sz w:val="20"/>
                <w:szCs w:val="20"/>
                <w:lang w:val="fr-CH"/>
              </w:rPr>
              <w:t> </w:t>
            </w:r>
          </w:p>
        </w:tc>
        <w:tc>
          <w:tcPr>
            <w:tcW w:w="1418" w:type="dxa"/>
            <w:shd w:val="clear" w:color="auto" w:fill="auto"/>
            <w:vAlign w:val="bottom"/>
          </w:tcPr>
          <w:p w14:paraId="669E9D00" w14:textId="77777777" w:rsidR="00AD0223" w:rsidRPr="005E5973" w:rsidRDefault="00AD0223" w:rsidP="00AD0223">
            <w:pPr>
              <w:rPr>
                <w:rFonts w:ascii="Arial" w:hAnsi="Arial" w:cs="Arial"/>
                <w:sz w:val="20"/>
                <w:szCs w:val="20"/>
                <w:lang w:val="fr-CH"/>
              </w:rPr>
            </w:pPr>
            <w:r w:rsidRPr="005E5973">
              <w:rPr>
                <w:rFonts w:ascii="Arial" w:hAnsi="Arial" w:cs="Arial"/>
                <w:sz w:val="20"/>
                <w:szCs w:val="20"/>
                <w:lang w:val="fr-CH"/>
              </w:rPr>
              <w:t> </w:t>
            </w:r>
          </w:p>
        </w:tc>
        <w:tc>
          <w:tcPr>
            <w:tcW w:w="1390" w:type="dxa"/>
            <w:shd w:val="clear" w:color="auto" w:fill="auto"/>
            <w:vAlign w:val="bottom"/>
          </w:tcPr>
          <w:p w14:paraId="6DF9EB4E" w14:textId="77777777" w:rsidR="00AD0223" w:rsidRPr="005E5973" w:rsidRDefault="00AD0223" w:rsidP="00AD0223">
            <w:pPr>
              <w:rPr>
                <w:rFonts w:ascii="Arial" w:hAnsi="Arial" w:cs="Arial"/>
                <w:sz w:val="20"/>
                <w:szCs w:val="20"/>
                <w:lang w:val="fr-CH"/>
              </w:rPr>
            </w:pPr>
            <w:r w:rsidRPr="005E5973">
              <w:rPr>
                <w:rFonts w:ascii="Arial" w:hAnsi="Arial" w:cs="Arial"/>
                <w:sz w:val="20"/>
                <w:szCs w:val="20"/>
                <w:lang w:val="fr-CH"/>
              </w:rPr>
              <w:t> </w:t>
            </w:r>
          </w:p>
        </w:tc>
        <w:tc>
          <w:tcPr>
            <w:tcW w:w="1254" w:type="dxa"/>
            <w:shd w:val="clear" w:color="auto" w:fill="auto"/>
            <w:vAlign w:val="bottom"/>
          </w:tcPr>
          <w:p w14:paraId="27C4F52A" w14:textId="77777777" w:rsidR="00AD0223" w:rsidRPr="005E5973" w:rsidRDefault="00AD0223" w:rsidP="00AD0223">
            <w:pPr>
              <w:rPr>
                <w:rFonts w:ascii="Arial" w:hAnsi="Arial" w:cs="Arial"/>
                <w:sz w:val="20"/>
                <w:szCs w:val="20"/>
                <w:lang w:val="fr-CH"/>
              </w:rPr>
            </w:pPr>
            <w:r w:rsidRPr="005E5973">
              <w:rPr>
                <w:rFonts w:ascii="Arial" w:hAnsi="Arial" w:cs="Arial"/>
                <w:sz w:val="20"/>
                <w:szCs w:val="20"/>
                <w:lang w:val="fr-CH"/>
              </w:rPr>
              <w:t> </w:t>
            </w:r>
          </w:p>
        </w:tc>
      </w:tr>
      <w:tr w:rsidR="00ED2B33" w:rsidRPr="005E5973" w14:paraId="4141B956" w14:textId="77777777" w:rsidTr="00ED2B33">
        <w:trPr>
          <w:trHeight w:val="558"/>
        </w:trPr>
        <w:tc>
          <w:tcPr>
            <w:tcW w:w="3853" w:type="dxa"/>
            <w:shd w:val="clear" w:color="auto" w:fill="D9D9D9" w:themeFill="background1" w:themeFillShade="D9"/>
            <w:vAlign w:val="bottom"/>
          </w:tcPr>
          <w:p w14:paraId="352DE895" w14:textId="67ABDDEC" w:rsidR="00AD0223" w:rsidRPr="005E5973" w:rsidRDefault="002079BB" w:rsidP="00997FC2">
            <w:pPr>
              <w:rPr>
                <w:rFonts w:ascii="Arial" w:hAnsi="Arial" w:cs="Arial"/>
                <w:sz w:val="20"/>
                <w:szCs w:val="20"/>
                <w:lang w:val="fr-CH"/>
              </w:rPr>
            </w:pPr>
            <w:r w:rsidRPr="005E5973">
              <w:rPr>
                <w:rFonts w:ascii="Arial" w:hAnsi="Arial" w:cs="Arial"/>
                <w:sz w:val="20"/>
                <w:szCs w:val="20"/>
                <w:lang w:val="fr-CH"/>
              </w:rPr>
              <w:t>CHF</w:t>
            </w:r>
          </w:p>
        </w:tc>
        <w:tc>
          <w:tcPr>
            <w:tcW w:w="1418" w:type="dxa"/>
            <w:shd w:val="clear" w:color="auto" w:fill="D9D9D9" w:themeFill="background1" w:themeFillShade="D9"/>
            <w:vAlign w:val="center"/>
          </w:tcPr>
          <w:p w14:paraId="3D407BD0" w14:textId="77777777" w:rsidR="00AD0223" w:rsidRPr="005E5973" w:rsidRDefault="00603A83" w:rsidP="00ED2B33">
            <w:pPr>
              <w:jc w:val="right"/>
              <w:rPr>
                <w:rFonts w:ascii="Arial" w:hAnsi="Arial" w:cs="Arial"/>
                <w:b/>
                <w:bCs/>
                <w:sz w:val="20"/>
                <w:szCs w:val="20"/>
                <w:lang w:val="fr-CH"/>
              </w:rPr>
            </w:pPr>
            <w:r w:rsidRPr="005E5973">
              <w:rPr>
                <w:rFonts w:ascii="Arial" w:hAnsi="Arial" w:cs="Arial"/>
                <w:b/>
                <w:bCs/>
                <w:sz w:val="20"/>
                <w:szCs w:val="20"/>
                <w:lang w:val="fr-CH"/>
              </w:rPr>
              <w:t>8</w:t>
            </w:r>
            <w:r w:rsidR="00AD0223" w:rsidRPr="005E5973">
              <w:rPr>
                <w:rFonts w:ascii="Arial" w:hAnsi="Arial" w:cs="Arial"/>
                <w:b/>
                <w:bCs/>
                <w:sz w:val="20"/>
                <w:szCs w:val="20"/>
                <w:lang w:val="fr-CH"/>
              </w:rPr>
              <w:t>0%</w:t>
            </w:r>
          </w:p>
        </w:tc>
        <w:tc>
          <w:tcPr>
            <w:tcW w:w="1390" w:type="dxa"/>
            <w:shd w:val="clear" w:color="auto" w:fill="D9D9D9" w:themeFill="background1" w:themeFillShade="D9"/>
            <w:vAlign w:val="center"/>
          </w:tcPr>
          <w:p w14:paraId="6DDAB2AD" w14:textId="77777777" w:rsidR="00AD0223" w:rsidRPr="005E5973" w:rsidRDefault="00EB5F2B" w:rsidP="00ED2B33">
            <w:pPr>
              <w:jc w:val="right"/>
              <w:rPr>
                <w:rFonts w:ascii="Arial" w:hAnsi="Arial" w:cs="Arial"/>
                <w:sz w:val="20"/>
                <w:szCs w:val="20"/>
                <w:lang w:val="fr-CH"/>
              </w:rPr>
            </w:pPr>
            <w:r w:rsidRPr="005E5973">
              <w:rPr>
                <w:rFonts w:ascii="Arial" w:hAnsi="Arial" w:cs="Arial"/>
                <w:sz w:val="20"/>
                <w:szCs w:val="20"/>
                <w:lang w:val="fr-CH"/>
              </w:rPr>
              <w:t>6</w:t>
            </w:r>
            <w:r w:rsidR="00126752" w:rsidRPr="005E5973">
              <w:rPr>
                <w:rFonts w:ascii="Arial" w:hAnsi="Arial" w:cs="Arial"/>
                <w:sz w:val="20"/>
                <w:szCs w:val="20"/>
                <w:lang w:val="fr-CH"/>
              </w:rPr>
              <w:t>0</w:t>
            </w:r>
            <w:r w:rsidR="00AD0223" w:rsidRPr="005E5973">
              <w:rPr>
                <w:rFonts w:ascii="Arial" w:hAnsi="Arial" w:cs="Arial"/>
                <w:sz w:val="20"/>
                <w:szCs w:val="20"/>
                <w:lang w:val="fr-CH"/>
              </w:rPr>
              <w:t>%</w:t>
            </w:r>
          </w:p>
        </w:tc>
        <w:tc>
          <w:tcPr>
            <w:tcW w:w="1254" w:type="dxa"/>
            <w:shd w:val="clear" w:color="auto" w:fill="D9D9D9" w:themeFill="background1" w:themeFillShade="D9"/>
            <w:vAlign w:val="center"/>
          </w:tcPr>
          <w:p w14:paraId="7A058810" w14:textId="77777777" w:rsidR="00AD0223" w:rsidRPr="005E5973" w:rsidRDefault="00AD0223" w:rsidP="00ED2B33">
            <w:pPr>
              <w:jc w:val="right"/>
              <w:rPr>
                <w:rFonts w:ascii="Arial" w:hAnsi="Arial" w:cs="Arial"/>
                <w:sz w:val="20"/>
                <w:szCs w:val="20"/>
                <w:lang w:val="fr-CH"/>
              </w:rPr>
            </w:pPr>
            <w:r w:rsidRPr="005E5973">
              <w:rPr>
                <w:rFonts w:ascii="Arial" w:hAnsi="Arial" w:cs="Arial"/>
                <w:sz w:val="20"/>
                <w:szCs w:val="20"/>
                <w:lang w:val="fr-CH"/>
              </w:rPr>
              <w:t xml:space="preserve">100% </w:t>
            </w:r>
          </w:p>
        </w:tc>
      </w:tr>
      <w:tr w:rsidR="00ED2B33" w:rsidRPr="005E5973" w14:paraId="1DAB53E7" w14:textId="77777777" w:rsidTr="00ED2B33">
        <w:trPr>
          <w:trHeight w:val="557"/>
        </w:trPr>
        <w:tc>
          <w:tcPr>
            <w:tcW w:w="3853" w:type="dxa"/>
            <w:shd w:val="clear" w:color="auto" w:fill="auto"/>
            <w:vAlign w:val="bottom"/>
          </w:tcPr>
          <w:p w14:paraId="116FE4E6" w14:textId="504069AF" w:rsidR="00AD0223" w:rsidRPr="005E5973" w:rsidRDefault="002079BB" w:rsidP="00997FC2">
            <w:pPr>
              <w:rPr>
                <w:rFonts w:ascii="Arial" w:hAnsi="Arial" w:cs="Arial"/>
                <w:color w:val="FF0000"/>
                <w:sz w:val="20"/>
                <w:szCs w:val="20"/>
                <w:lang w:val="fr-CH"/>
              </w:rPr>
            </w:pPr>
            <w:r w:rsidRPr="005E5973">
              <w:rPr>
                <w:rFonts w:ascii="Arial" w:hAnsi="Arial" w:cs="Arial"/>
                <w:sz w:val="20"/>
                <w:szCs w:val="20"/>
                <w:lang w:val="fr-CH"/>
              </w:rPr>
              <w:t>EURO</w:t>
            </w:r>
          </w:p>
        </w:tc>
        <w:tc>
          <w:tcPr>
            <w:tcW w:w="1418" w:type="dxa"/>
            <w:shd w:val="clear" w:color="auto" w:fill="auto"/>
            <w:vAlign w:val="center"/>
          </w:tcPr>
          <w:p w14:paraId="0CACF811" w14:textId="77777777" w:rsidR="00AD0223" w:rsidRPr="005E5973" w:rsidRDefault="00603A83" w:rsidP="00ED2B33">
            <w:pPr>
              <w:jc w:val="right"/>
              <w:rPr>
                <w:rFonts w:ascii="Arial" w:hAnsi="Arial" w:cs="Arial"/>
                <w:b/>
                <w:bCs/>
                <w:sz w:val="20"/>
                <w:szCs w:val="20"/>
                <w:lang w:val="fr-CH"/>
              </w:rPr>
            </w:pPr>
            <w:r w:rsidRPr="005E5973">
              <w:rPr>
                <w:rFonts w:ascii="Arial" w:hAnsi="Arial" w:cs="Arial"/>
                <w:b/>
                <w:bCs/>
                <w:sz w:val="20"/>
                <w:szCs w:val="20"/>
                <w:lang w:val="fr-CH"/>
              </w:rPr>
              <w:t>1</w:t>
            </w:r>
            <w:r w:rsidR="00AD0223" w:rsidRPr="005E5973">
              <w:rPr>
                <w:rFonts w:ascii="Arial" w:hAnsi="Arial" w:cs="Arial"/>
                <w:b/>
                <w:bCs/>
                <w:sz w:val="20"/>
                <w:szCs w:val="20"/>
                <w:lang w:val="fr-CH"/>
              </w:rPr>
              <w:t>0%</w:t>
            </w:r>
          </w:p>
        </w:tc>
        <w:tc>
          <w:tcPr>
            <w:tcW w:w="1390" w:type="dxa"/>
            <w:shd w:val="clear" w:color="auto" w:fill="auto"/>
            <w:vAlign w:val="center"/>
          </w:tcPr>
          <w:p w14:paraId="62B5539B" w14:textId="77777777" w:rsidR="00AD0223" w:rsidRPr="005E5973" w:rsidRDefault="00603A83" w:rsidP="00ED2B33">
            <w:pPr>
              <w:jc w:val="right"/>
              <w:rPr>
                <w:rFonts w:ascii="Arial" w:hAnsi="Arial" w:cs="Arial"/>
                <w:sz w:val="20"/>
                <w:szCs w:val="20"/>
                <w:lang w:val="fr-CH"/>
              </w:rPr>
            </w:pPr>
            <w:r w:rsidRPr="005E5973">
              <w:rPr>
                <w:rFonts w:ascii="Arial" w:hAnsi="Arial" w:cs="Arial"/>
                <w:sz w:val="20"/>
                <w:szCs w:val="20"/>
                <w:lang w:val="fr-CH"/>
              </w:rPr>
              <w:t>0</w:t>
            </w:r>
            <w:r w:rsidR="00AD0223" w:rsidRPr="005E5973">
              <w:rPr>
                <w:rFonts w:ascii="Arial" w:hAnsi="Arial" w:cs="Arial"/>
                <w:sz w:val="20"/>
                <w:szCs w:val="20"/>
                <w:lang w:val="fr-CH"/>
              </w:rPr>
              <w:t>%</w:t>
            </w:r>
          </w:p>
        </w:tc>
        <w:tc>
          <w:tcPr>
            <w:tcW w:w="1254" w:type="dxa"/>
            <w:shd w:val="clear" w:color="auto" w:fill="auto"/>
            <w:vAlign w:val="center"/>
          </w:tcPr>
          <w:p w14:paraId="61553A52" w14:textId="77777777" w:rsidR="00AD0223" w:rsidRPr="005E5973" w:rsidRDefault="004B169D" w:rsidP="00ED2B33">
            <w:pPr>
              <w:jc w:val="right"/>
              <w:rPr>
                <w:rFonts w:ascii="Arial" w:hAnsi="Arial" w:cs="Arial"/>
                <w:sz w:val="20"/>
                <w:szCs w:val="20"/>
                <w:lang w:val="fr-CH"/>
              </w:rPr>
            </w:pPr>
            <w:r w:rsidRPr="005E5973">
              <w:rPr>
                <w:rFonts w:ascii="Arial" w:hAnsi="Arial" w:cs="Arial"/>
                <w:sz w:val="20"/>
                <w:szCs w:val="20"/>
                <w:lang w:val="fr-CH"/>
              </w:rPr>
              <w:t>20</w:t>
            </w:r>
            <w:r w:rsidR="00AD0223" w:rsidRPr="005E5973">
              <w:rPr>
                <w:rFonts w:ascii="Arial" w:hAnsi="Arial" w:cs="Arial"/>
                <w:sz w:val="20"/>
                <w:szCs w:val="20"/>
                <w:lang w:val="fr-CH"/>
              </w:rPr>
              <w:t>%</w:t>
            </w:r>
          </w:p>
        </w:tc>
      </w:tr>
      <w:tr w:rsidR="00ED2B33" w:rsidRPr="005E5973" w14:paraId="260E6D42" w14:textId="77777777" w:rsidTr="00ED2B33">
        <w:trPr>
          <w:trHeight w:val="474"/>
        </w:trPr>
        <w:tc>
          <w:tcPr>
            <w:tcW w:w="3853" w:type="dxa"/>
            <w:shd w:val="clear" w:color="auto" w:fill="auto"/>
            <w:vAlign w:val="bottom"/>
          </w:tcPr>
          <w:p w14:paraId="50BE7EE9" w14:textId="2D65DE9A" w:rsidR="00AD0223" w:rsidRPr="005E5973" w:rsidRDefault="002079BB" w:rsidP="00997FC2">
            <w:pPr>
              <w:rPr>
                <w:rFonts w:ascii="Arial" w:hAnsi="Arial" w:cs="Arial"/>
                <w:sz w:val="20"/>
                <w:szCs w:val="20"/>
                <w:lang w:val="fr-CH"/>
              </w:rPr>
            </w:pPr>
            <w:r w:rsidRPr="005E5973">
              <w:rPr>
                <w:rFonts w:ascii="Arial" w:hAnsi="Arial" w:cs="Arial"/>
                <w:sz w:val="20"/>
                <w:szCs w:val="20"/>
                <w:lang w:val="fr-CH"/>
              </w:rPr>
              <w:t>USD</w:t>
            </w:r>
          </w:p>
        </w:tc>
        <w:tc>
          <w:tcPr>
            <w:tcW w:w="1418" w:type="dxa"/>
            <w:shd w:val="clear" w:color="auto" w:fill="auto"/>
            <w:vAlign w:val="center"/>
          </w:tcPr>
          <w:p w14:paraId="3717A11D" w14:textId="77777777" w:rsidR="00AD0223" w:rsidRPr="005E5973" w:rsidRDefault="00AD0223" w:rsidP="00ED2B33">
            <w:pPr>
              <w:jc w:val="right"/>
              <w:rPr>
                <w:rFonts w:ascii="Arial" w:hAnsi="Arial" w:cs="Arial"/>
                <w:b/>
                <w:bCs/>
                <w:sz w:val="20"/>
                <w:szCs w:val="20"/>
                <w:lang w:val="fr-CH"/>
              </w:rPr>
            </w:pPr>
            <w:r w:rsidRPr="005E5973">
              <w:rPr>
                <w:rFonts w:ascii="Arial" w:hAnsi="Arial" w:cs="Arial"/>
                <w:b/>
                <w:bCs/>
                <w:sz w:val="20"/>
                <w:szCs w:val="20"/>
                <w:lang w:val="fr-CH"/>
              </w:rPr>
              <w:t>10%</w:t>
            </w:r>
          </w:p>
        </w:tc>
        <w:tc>
          <w:tcPr>
            <w:tcW w:w="1390" w:type="dxa"/>
            <w:shd w:val="clear" w:color="auto" w:fill="auto"/>
            <w:vAlign w:val="center"/>
          </w:tcPr>
          <w:p w14:paraId="208CA1AA" w14:textId="77777777" w:rsidR="00AD0223" w:rsidRPr="005E5973" w:rsidRDefault="00AD0223" w:rsidP="00ED2B33">
            <w:pPr>
              <w:jc w:val="right"/>
              <w:rPr>
                <w:rFonts w:ascii="Arial" w:hAnsi="Arial" w:cs="Arial"/>
                <w:sz w:val="20"/>
                <w:szCs w:val="20"/>
                <w:lang w:val="fr-CH"/>
              </w:rPr>
            </w:pPr>
            <w:r w:rsidRPr="005E5973">
              <w:rPr>
                <w:rFonts w:ascii="Arial" w:hAnsi="Arial" w:cs="Arial"/>
                <w:sz w:val="20"/>
                <w:szCs w:val="20"/>
                <w:lang w:val="fr-CH"/>
              </w:rPr>
              <w:t>0%</w:t>
            </w:r>
          </w:p>
        </w:tc>
        <w:tc>
          <w:tcPr>
            <w:tcW w:w="1254" w:type="dxa"/>
            <w:shd w:val="clear" w:color="auto" w:fill="auto"/>
            <w:vAlign w:val="center"/>
          </w:tcPr>
          <w:p w14:paraId="4E22BF37" w14:textId="77777777" w:rsidR="00AD0223" w:rsidRPr="005E5973" w:rsidRDefault="004B169D" w:rsidP="00ED2B33">
            <w:pPr>
              <w:jc w:val="right"/>
              <w:rPr>
                <w:rFonts w:ascii="Arial" w:hAnsi="Arial" w:cs="Arial"/>
                <w:sz w:val="20"/>
                <w:szCs w:val="20"/>
                <w:lang w:val="fr-CH"/>
              </w:rPr>
            </w:pPr>
            <w:r w:rsidRPr="005E5973">
              <w:rPr>
                <w:rFonts w:ascii="Arial" w:hAnsi="Arial" w:cs="Arial"/>
                <w:sz w:val="20"/>
                <w:szCs w:val="20"/>
                <w:lang w:val="fr-CH"/>
              </w:rPr>
              <w:t>20</w:t>
            </w:r>
            <w:r w:rsidR="00AD0223" w:rsidRPr="005E5973">
              <w:rPr>
                <w:rFonts w:ascii="Arial" w:hAnsi="Arial" w:cs="Arial"/>
                <w:sz w:val="20"/>
                <w:szCs w:val="20"/>
                <w:lang w:val="fr-CH"/>
              </w:rPr>
              <w:t>%</w:t>
            </w:r>
          </w:p>
        </w:tc>
      </w:tr>
      <w:tr w:rsidR="00ED2B33" w:rsidRPr="005E5973" w14:paraId="5764935A" w14:textId="77777777" w:rsidTr="00ED2B33">
        <w:trPr>
          <w:trHeight w:val="376"/>
        </w:trPr>
        <w:tc>
          <w:tcPr>
            <w:tcW w:w="3853" w:type="dxa"/>
            <w:shd w:val="clear" w:color="auto" w:fill="auto"/>
            <w:vAlign w:val="bottom"/>
          </w:tcPr>
          <w:p w14:paraId="1282535F" w14:textId="469B0AF6" w:rsidR="00AD0223" w:rsidRPr="005E5973" w:rsidRDefault="002079BB" w:rsidP="00997FC2">
            <w:pPr>
              <w:rPr>
                <w:rFonts w:ascii="Arial" w:hAnsi="Arial" w:cs="Arial"/>
                <w:sz w:val="20"/>
                <w:szCs w:val="20"/>
                <w:lang w:val="fr-CH"/>
              </w:rPr>
            </w:pPr>
            <w:r w:rsidRPr="005E5973">
              <w:rPr>
                <w:rFonts w:ascii="Arial" w:hAnsi="Arial" w:cs="Arial"/>
                <w:sz w:val="20"/>
                <w:szCs w:val="20"/>
                <w:lang w:val="fr-CH"/>
              </w:rPr>
              <w:t>Autres</w:t>
            </w:r>
          </w:p>
        </w:tc>
        <w:tc>
          <w:tcPr>
            <w:tcW w:w="1418" w:type="dxa"/>
            <w:shd w:val="clear" w:color="auto" w:fill="auto"/>
            <w:vAlign w:val="center"/>
          </w:tcPr>
          <w:p w14:paraId="2CC5278C" w14:textId="77777777" w:rsidR="00AD0223" w:rsidRPr="005E5973" w:rsidRDefault="00AD0223" w:rsidP="00ED2B33">
            <w:pPr>
              <w:jc w:val="right"/>
              <w:rPr>
                <w:rFonts w:ascii="Arial" w:hAnsi="Arial" w:cs="Arial"/>
                <w:b/>
                <w:bCs/>
                <w:sz w:val="20"/>
                <w:szCs w:val="20"/>
                <w:lang w:val="fr-CH"/>
              </w:rPr>
            </w:pPr>
            <w:r w:rsidRPr="005E5973">
              <w:rPr>
                <w:rFonts w:ascii="Arial" w:hAnsi="Arial" w:cs="Arial"/>
                <w:b/>
                <w:bCs/>
                <w:sz w:val="20"/>
                <w:szCs w:val="20"/>
                <w:lang w:val="fr-CH"/>
              </w:rPr>
              <w:t>0%</w:t>
            </w:r>
          </w:p>
        </w:tc>
        <w:tc>
          <w:tcPr>
            <w:tcW w:w="1390" w:type="dxa"/>
            <w:shd w:val="clear" w:color="auto" w:fill="auto"/>
            <w:vAlign w:val="center"/>
          </w:tcPr>
          <w:p w14:paraId="228AFD01" w14:textId="77777777" w:rsidR="00AD0223" w:rsidRPr="005E5973" w:rsidRDefault="00AD0223" w:rsidP="00ED2B33">
            <w:pPr>
              <w:jc w:val="right"/>
              <w:rPr>
                <w:rFonts w:ascii="Arial" w:hAnsi="Arial" w:cs="Arial"/>
                <w:sz w:val="20"/>
                <w:szCs w:val="20"/>
                <w:lang w:val="fr-CH"/>
              </w:rPr>
            </w:pPr>
            <w:r w:rsidRPr="005E5973">
              <w:rPr>
                <w:rFonts w:ascii="Arial" w:hAnsi="Arial" w:cs="Arial"/>
                <w:sz w:val="20"/>
                <w:szCs w:val="20"/>
                <w:lang w:val="fr-CH"/>
              </w:rPr>
              <w:t>0%</w:t>
            </w:r>
          </w:p>
        </w:tc>
        <w:tc>
          <w:tcPr>
            <w:tcW w:w="1254" w:type="dxa"/>
            <w:shd w:val="clear" w:color="auto" w:fill="auto"/>
            <w:vAlign w:val="center"/>
          </w:tcPr>
          <w:p w14:paraId="4918CC5B" w14:textId="77777777" w:rsidR="00AD0223" w:rsidRPr="005E5973" w:rsidRDefault="00AD0223" w:rsidP="00ED2B33">
            <w:pPr>
              <w:jc w:val="right"/>
              <w:rPr>
                <w:rFonts w:ascii="Arial" w:hAnsi="Arial" w:cs="Arial"/>
                <w:sz w:val="20"/>
                <w:szCs w:val="20"/>
                <w:lang w:val="fr-CH"/>
              </w:rPr>
            </w:pPr>
            <w:r w:rsidRPr="005E5973">
              <w:rPr>
                <w:rFonts w:ascii="Arial" w:hAnsi="Arial" w:cs="Arial"/>
                <w:sz w:val="20"/>
                <w:szCs w:val="20"/>
                <w:lang w:val="fr-CH"/>
              </w:rPr>
              <w:t>1</w:t>
            </w:r>
            <w:r w:rsidR="00603A83" w:rsidRPr="005E5973">
              <w:rPr>
                <w:rFonts w:ascii="Arial" w:hAnsi="Arial" w:cs="Arial"/>
                <w:sz w:val="20"/>
                <w:szCs w:val="20"/>
                <w:lang w:val="fr-CH"/>
              </w:rPr>
              <w:t>0</w:t>
            </w:r>
            <w:r w:rsidRPr="005E5973">
              <w:rPr>
                <w:rFonts w:ascii="Arial" w:hAnsi="Arial" w:cs="Arial"/>
                <w:sz w:val="20"/>
                <w:szCs w:val="20"/>
                <w:lang w:val="fr-CH"/>
              </w:rPr>
              <w:t>%</w:t>
            </w:r>
          </w:p>
        </w:tc>
      </w:tr>
      <w:tr w:rsidR="00ED2B33" w:rsidRPr="005E5973" w14:paraId="0A8B12F0" w14:textId="77777777" w:rsidTr="00ED2B33">
        <w:trPr>
          <w:trHeight w:val="530"/>
        </w:trPr>
        <w:tc>
          <w:tcPr>
            <w:tcW w:w="3853" w:type="dxa"/>
            <w:shd w:val="clear" w:color="auto" w:fill="auto"/>
            <w:vAlign w:val="bottom"/>
          </w:tcPr>
          <w:p w14:paraId="4875CACC" w14:textId="77777777" w:rsidR="00AD0223" w:rsidRPr="005E5973" w:rsidRDefault="00AD0223" w:rsidP="00AD0223">
            <w:pPr>
              <w:rPr>
                <w:rFonts w:ascii="Arial" w:hAnsi="Arial" w:cs="Arial"/>
                <w:sz w:val="20"/>
                <w:szCs w:val="20"/>
                <w:lang w:val="fr-CH"/>
              </w:rPr>
            </w:pPr>
          </w:p>
        </w:tc>
        <w:tc>
          <w:tcPr>
            <w:tcW w:w="1418" w:type="dxa"/>
            <w:shd w:val="clear" w:color="auto" w:fill="auto"/>
            <w:vAlign w:val="center"/>
          </w:tcPr>
          <w:p w14:paraId="69F1CB8C" w14:textId="77777777" w:rsidR="00AD0223" w:rsidRPr="005E5973" w:rsidRDefault="00AD0223" w:rsidP="00ED2B33">
            <w:pPr>
              <w:jc w:val="right"/>
              <w:rPr>
                <w:rFonts w:ascii="Arial" w:hAnsi="Arial" w:cs="Arial"/>
                <w:b/>
                <w:bCs/>
                <w:sz w:val="20"/>
                <w:szCs w:val="20"/>
                <w:lang w:val="fr-CH"/>
              </w:rPr>
            </w:pPr>
          </w:p>
        </w:tc>
        <w:tc>
          <w:tcPr>
            <w:tcW w:w="1390" w:type="dxa"/>
            <w:shd w:val="clear" w:color="auto" w:fill="auto"/>
            <w:vAlign w:val="center"/>
          </w:tcPr>
          <w:p w14:paraId="7C1AB916" w14:textId="77777777" w:rsidR="00AD0223" w:rsidRPr="005E5973" w:rsidRDefault="00AD0223" w:rsidP="00ED2B33">
            <w:pPr>
              <w:jc w:val="right"/>
              <w:rPr>
                <w:rFonts w:ascii="Arial" w:hAnsi="Arial" w:cs="Arial"/>
                <w:sz w:val="20"/>
                <w:szCs w:val="20"/>
                <w:lang w:val="fr-CH"/>
              </w:rPr>
            </w:pPr>
          </w:p>
        </w:tc>
        <w:tc>
          <w:tcPr>
            <w:tcW w:w="1254" w:type="dxa"/>
            <w:shd w:val="clear" w:color="auto" w:fill="auto"/>
            <w:vAlign w:val="center"/>
          </w:tcPr>
          <w:p w14:paraId="283B6B2B" w14:textId="77777777" w:rsidR="00AD0223" w:rsidRPr="005E5973" w:rsidRDefault="00AD0223" w:rsidP="00ED2B33">
            <w:pPr>
              <w:jc w:val="right"/>
              <w:rPr>
                <w:rFonts w:ascii="Arial" w:hAnsi="Arial" w:cs="Arial"/>
                <w:sz w:val="20"/>
                <w:szCs w:val="20"/>
                <w:lang w:val="fr-CH"/>
              </w:rPr>
            </w:pPr>
          </w:p>
        </w:tc>
      </w:tr>
      <w:tr w:rsidR="00ED2B33" w:rsidRPr="005E5973" w14:paraId="393AF93B" w14:textId="77777777" w:rsidTr="00ED2B33">
        <w:tc>
          <w:tcPr>
            <w:tcW w:w="3853" w:type="dxa"/>
            <w:shd w:val="clear" w:color="auto" w:fill="auto"/>
            <w:vAlign w:val="bottom"/>
          </w:tcPr>
          <w:p w14:paraId="14622B26" w14:textId="77777777" w:rsidR="00AD0223" w:rsidRPr="005E5973" w:rsidRDefault="00AD0223" w:rsidP="00AD0223">
            <w:pPr>
              <w:rPr>
                <w:rFonts w:ascii="Arial" w:hAnsi="Arial" w:cs="Arial"/>
                <w:b/>
                <w:bCs/>
                <w:sz w:val="20"/>
                <w:szCs w:val="20"/>
                <w:lang w:val="fr-CH"/>
              </w:rPr>
            </w:pPr>
          </w:p>
          <w:p w14:paraId="151E1FDB" w14:textId="39627850" w:rsidR="00AD0223" w:rsidRPr="005E5973" w:rsidRDefault="002079BB" w:rsidP="00AD0223">
            <w:pPr>
              <w:rPr>
                <w:rFonts w:ascii="Arial" w:hAnsi="Arial" w:cs="Arial"/>
                <w:b/>
                <w:bCs/>
                <w:sz w:val="20"/>
                <w:szCs w:val="20"/>
                <w:lang w:val="fr-CH"/>
              </w:rPr>
            </w:pPr>
            <w:r w:rsidRPr="005E5973">
              <w:rPr>
                <w:rFonts w:ascii="Arial" w:hAnsi="Arial" w:cs="Arial"/>
                <w:b/>
                <w:bCs/>
                <w:sz w:val="20"/>
                <w:szCs w:val="20"/>
                <w:lang w:val="fr-CH"/>
              </w:rPr>
              <w:t>TOTAL</w:t>
            </w:r>
          </w:p>
          <w:p w14:paraId="3FB8E03D" w14:textId="77777777" w:rsidR="00AD0223" w:rsidRPr="005E5973" w:rsidRDefault="00AD0223" w:rsidP="00AD0223">
            <w:pPr>
              <w:rPr>
                <w:rFonts w:ascii="Arial" w:hAnsi="Arial" w:cs="Arial"/>
                <w:b/>
                <w:bCs/>
                <w:sz w:val="20"/>
                <w:szCs w:val="20"/>
                <w:lang w:val="fr-CH"/>
              </w:rPr>
            </w:pPr>
          </w:p>
        </w:tc>
        <w:tc>
          <w:tcPr>
            <w:tcW w:w="1418" w:type="dxa"/>
            <w:shd w:val="clear" w:color="auto" w:fill="auto"/>
            <w:vAlign w:val="center"/>
          </w:tcPr>
          <w:p w14:paraId="327F492C" w14:textId="77777777" w:rsidR="00AD0223" w:rsidRPr="005E5973" w:rsidRDefault="00AD0223" w:rsidP="00ED2B33">
            <w:pPr>
              <w:jc w:val="right"/>
              <w:rPr>
                <w:rFonts w:ascii="Arial" w:hAnsi="Arial" w:cs="Arial"/>
                <w:b/>
                <w:bCs/>
                <w:sz w:val="20"/>
                <w:szCs w:val="20"/>
                <w:lang w:val="fr-CH"/>
              </w:rPr>
            </w:pPr>
            <w:r w:rsidRPr="005E5973">
              <w:rPr>
                <w:rFonts w:ascii="Arial" w:hAnsi="Arial" w:cs="Arial"/>
                <w:b/>
                <w:bCs/>
                <w:sz w:val="20"/>
                <w:szCs w:val="20"/>
                <w:lang w:val="fr-CH"/>
              </w:rPr>
              <w:t>100%</w:t>
            </w:r>
          </w:p>
        </w:tc>
        <w:tc>
          <w:tcPr>
            <w:tcW w:w="1390" w:type="dxa"/>
            <w:shd w:val="clear" w:color="auto" w:fill="auto"/>
            <w:vAlign w:val="center"/>
          </w:tcPr>
          <w:p w14:paraId="5826DBA0" w14:textId="77777777" w:rsidR="00AD0223" w:rsidRPr="005E5973" w:rsidRDefault="00AD0223" w:rsidP="00ED2B33">
            <w:pPr>
              <w:jc w:val="right"/>
              <w:rPr>
                <w:rFonts w:ascii="Arial" w:hAnsi="Arial" w:cs="Arial"/>
                <w:sz w:val="20"/>
                <w:szCs w:val="20"/>
                <w:lang w:val="fr-CH"/>
              </w:rPr>
            </w:pPr>
          </w:p>
        </w:tc>
        <w:tc>
          <w:tcPr>
            <w:tcW w:w="1254" w:type="dxa"/>
            <w:shd w:val="clear" w:color="auto" w:fill="auto"/>
            <w:vAlign w:val="center"/>
          </w:tcPr>
          <w:p w14:paraId="65C45D44" w14:textId="77777777" w:rsidR="00AD0223" w:rsidRPr="005E5973" w:rsidRDefault="00AD0223" w:rsidP="00ED2B33">
            <w:pPr>
              <w:jc w:val="right"/>
              <w:rPr>
                <w:rFonts w:ascii="Arial" w:hAnsi="Arial" w:cs="Arial"/>
                <w:sz w:val="20"/>
                <w:szCs w:val="20"/>
                <w:lang w:val="fr-CH"/>
              </w:rPr>
            </w:pPr>
          </w:p>
        </w:tc>
      </w:tr>
    </w:tbl>
    <w:p w14:paraId="26782C1E" w14:textId="77777777" w:rsidR="00AD0223" w:rsidRPr="005E5973" w:rsidRDefault="00AD0223" w:rsidP="00140095">
      <w:pPr>
        <w:rPr>
          <w:rFonts w:ascii="Arial" w:hAnsi="Arial" w:cs="Arial"/>
          <w:sz w:val="20"/>
          <w:szCs w:val="20"/>
          <w:lang w:val="fr-CH"/>
        </w:rPr>
      </w:pPr>
    </w:p>
    <w:p w14:paraId="6B415303" w14:textId="77777777" w:rsidR="00AD0223" w:rsidRPr="005E5973" w:rsidRDefault="00AD0223" w:rsidP="00140095">
      <w:pPr>
        <w:rPr>
          <w:rFonts w:ascii="Arial" w:hAnsi="Arial" w:cs="Arial"/>
          <w:sz w:val="20"/>
          <w:szCs w:val="20"/>
          <w:lang w:val="fr-CH"/>
        </w:rPr>
      </w:pPr>
    </w:p>
    <w:p w14:paraId="441A8B4E" w14:textId="54CFD2FC" w:rsidR="005F5809" w:rsidRPr="005E5973" w:rsidRDefault="002079BB" w:rsidP="005F5809">
      <w:pPr>
        <w:rPr>
          <w:rFonts w:ascii="Arial" w:hAnsi="Arial" w:cs="Arial"/>
          <w:color w:val="000000" w:themeColor="text1"/>
          <w:sz w:val="20"/>
          <w:szCs w:val="20"/>
          <w:lang w:val="fr-CH"/>
        </w:rPr>
      </w:pPr>
      <w:r w:rsidRPr="005E5973">
        <w:rPr>
          <w:rFonts w:ascii="Arial" w:hAnsi="Arial" w:cs="Arial"/>
          <w:color w:val="000000" w:themeColor="text1"/>
          <w:sz w:val="20"/>
          <w:szCs w:val="20"/>
          <w:lang w:val="fr-CH"/>
        </w:rPr>
        <w:t xml:space="preserve">Un </w:t>
      </w:r>
      <w:r w:rsidRPr="00FE3517">
        <w:rPr>
          <w:rFonts w:ascii="Arial" w:hAnsi="Arial" w:cs="Arial"/>
          <w:b/>
          <w:bCs/>
          <w:color w:val="000000" w:themeColor="text1"/>
          <w:sz w:val="20"/>
          <w:szCs w:val="20"/>
          <w:lang w:val="fr-CH"/>
        </w:rPr>
        <w:t>poste unique</w:t>
      </w:r>
      <w:r w:rsidRPr="005E5973">
        <w:rPr>
          <w:rFonts w:ascii="Arial" w:hAnsi="Arial" w:cs="Arial"/>
          <w:color w:val="000000" w:themeColor="text1"/>
          <w:sz w:val="20"/>
          <w:szCs w:val="20"/>
          <w:lang w:val="fr-CH"/>
        </w:rPr>
        <w:t xml:space="preserve"> (placement direct) doit représenter au maximum 5 % du volume de placement total.</w:t>
      </w:r>
      <w:r w:rsidR="005F5809" w:rsidRPr="005E5973">
        <w:rPr>
          <w:rFonts w:ascii="Arial" w:hAnsi="Arial" w:cs="Arial"/>
          <w:color w:val="000000" w:themeColor="text1"/>
          <w:sz w:val="20"/>
          <w:szCs w:val="20"/>
          <w:lang w:val="fr-CH"/>
        </w:rPr>
        <w:t xml:space="preserve"> </w:t>
      </w:r>
      <w:r w:rsidRPr="005E5973">
        <w:rPr>
          <w:rFonts w:ascii="Arial" w:hAnsi="Arial" w:cs="Arial"/>
          <w:color w:val="000000" w:themeColor="text1"/>
          <w:sz w:val="20"/>
          <w:szCs w:val="20"/>
          <w:lang w:val="fr-CH"/>
        </w:rPr>
        <w:t>Chaque débiteur (incl. postes en actions) ne doit pas détenir plus de 10 % des actifs totaux.</w:t>
      </w:r>
      <w:r w:rsidR="005F5809" w:rsidRPr="005E5973">
        <w:rPr>
          <w:rFonts w:ascii="Arial" w:hAnsi="Arial" w:cs="Arial"/>
          <w:color w:val="000000" w:themeColor="text1"/>
          <w:sz w:val="20"/>
          <w:szCs w:val="20"/>
          <w:lang w:val="fr-CH"/>
        </w:rPr>
        <w:t xml:space="preserve"> </w:t>
      </w:r>
    </w:p>
    <w:p w14:paraId="495F1ADC" w14:textId="77777777" w:rsidR="009730F7" w:rsidRPr="005E5973" w:rsidRDefault="009730F7" w:rsidP="005F5809">
      <w:pPr>
        <w:rPr>
          <w:rFonts w:ascii="Arial" w:hAnsi="Arial" w:cs="Arial"/>
          <w:color w:val="000000" w:themeColor="text1"/>
          <w:sz w:val="20"/>
          <w:szCs w:val="20"/>
          <w:lang w:val="fr-CH"/>
        </w:rPr>
      </w:pPr>
    </w:p>
    <w:p w14:paraId="6096367F" w14:textId="6353258E" w:rsidR="009730F7" w:rsidRPr="005E5973" w:rsidRDefault="002079BB" w:rsidP="005F5809">
      <w:pPr>
        <w:rPr>
          <w:rFonts w:ascii="Arial" w:hAnsi="Arial" w:cs="Arial"/>
          <w:color w:val="000000" w:themeColor="text1"/>
          <w:sz w:val="20"/>
          <w:szCs w:val="20"/>
          <w:lang w:val="fr-CH"/>
        </w:rPr>
      </w:pPr>
      <w:r w:rsidRPr="005E5973">
        <w:rPr>
          <w:rFonts w:ascii="Arial" w:hAnsi="Arial" w:cs="Arial"/>
          <w:color w:val="000000" w:themeColor="text1"/>
          <w:sz w:val="20"/>
          <w:szCs w:val="20"/>
          <w:lang w:val="fr-CH"/>
        </w:rPr>
        <w:t xml:space="preserve">Chaque poste des </w:t>
      </w:r>
      <w:r w:rsidRPr="00FE3517">
        <w:rPr>
          <w:rFonts w:ascii="Arial" w:hAnsi="Arial" w:cs="Arial"/>
          <w:b/>
          <w:bCs/>
          <w:color w:val="000000" w:themeColor="text1"/>
          <w:sz w:val="20"/>
          <w:szCs w:val="20"/>
          <w:lang w:val="fr-CH"/>
        </w:rPr>
        <w:t>placements collectifs</w:t>
      </w:r>
      <w:r w:rsidRPr="005E5973">
        <w:rPr>
          <w:rFonts w:ascii="Arial" w:hAnsi="Arial" w:cs="Arial"/>
          <w:color w:val="000000" w:themeColor="text1"/>
          <w:sz w:val="20"/>
          <w:szCs w:val="20"/>
          <w:lang w:val="fr-CH"/>
        </w:rPr>
        <w:t xml:space="preserve"> doit représenter au maximum 20 % du volume de placement total.</w:t>
      </w:r>
    </w:p>
    <w:p w14:paraId="7DB59866" w14:textId="77777777" w:rsidR="00E139AA" w:rsidRPr="005E5973" w:rsidRDefault="00E139AA" w:rsidP="005F5809">
      <w:pPr>
        <w:rPr>
          <w:rFonts w:ascii="Arial" w:hAnsi="Arial" w:cs="Arial"/>
          <w:color w:val="000000" w:themeColor="text1"/>
          <w:sz w:val="20"/>
          <w:szCs w:val="20"/>
          <w:lang w:val="fr-CH"/>
        </w:rPr>
      </w:pPr>
    </w:p>
    <w:p w14:paraId="3AA48155" w14:textId="34739525" w:rsidR="005F5809" w:rsidRPr="005E5973" w:rsidRDefault="002079BB" w:rsidP="005F5809">
      <w:pPr>
        <w:rPr>
          <w:rFonts w:ascii="Arial" w:hAnsi="Arial" w:cs="Arial"/>
          <w:sz w:val="20"/>
          <w:szCs w:val="20"/>
          <w:lang w:val="fr-CH"/>
        </w:rPr>
      </w:pPr>
      <w:r w:rsidRPr="005E5973">
        <w:rPr>
          <w:rFonts w:ascii="Arial" w:hAnsi="Arial" w:cs="Arial"/>
          <w:sz w:val="20"/>
          <w:szCs w:val="20"/>
          <w:lang w:val="fr-CH"/>
        </w:rPr>
        <w:t>Les fourchettes tactiques inférieures et supérieures définissent les écarts admis à titre maximum par rapport à la structure d’objectif stratégique.</w:t>
      </w:r>
      <w:r w:rsidR="005F5809" w:rsidRPr="005E5973">
        <w:rPr>
          <w:rFonts w:ascii="Arial" w:hAnsi="Arial" w:cs="Arial"/>
          <w:sz w:val="20"/>
          <w:szCs w:val="20"/>
          <w:lang w:val="fr-CH"/>
        </w:rPr>
        <w:t xml:space="preserve"> </w:t>
      </w:r>
      <w:r w:rsidRPr="005E5973">
        <w:rPr>
          <w:rFonts w:ascii="Arial" w:hAnsi="Arial" w:cs="Arial"/>
          <w:sz w:val="20"/>
          <w:szCs w:val="20"/>
          <w:lang w:val="fr-CH"/>
        </w:rPr>
        <w:t>Les parts du portefeuille doivent, à l’issue de la phase d’investissement initiale ou en cas d’augmentation/remboursements importants, évoluer obligatoirement dans le cadre des fourchettes inférieures et supérieures.</w:t>
      </w:r>
      <w:r w:rsidR="005F5809" w:rsidRPr="005E5973">
        <w:rPr>
          <w:rFonts w:ascii="Arial" w:hAnsi="Arial" w:cs="Arial"/>
          <w:sz w:val="20"/>
          <w:szCs w:val="20"/>
          <w:lang w:val="fr-CH"/>
        </w:rPr>
        <w:t xml:space="preserve"> </w:t>
      </w:r>
    </w:p>
    <w:p w14:paraId="54027285" w14:textId="77777777" w:rsidR="00140095" w:rsidRPr="005E5973" w:rsidRDefault="00140095" w:rsidP="00140095">
      <w:pPr>
        <w:rPr>
          <w:rFonts w:ascii="Arial" w:hAnsi="Arial" w:cs="Arial"/>
          <w:sz w:val="20"/>
          <w:szCs w:val="20"/>
          <w:lang w:val="fr-CH"/>
        </w:rPr>
      </w:pPr>
    </w:p>
    <w:p w14:paraId="26D7BD40" w14:textId="71BB1A17" w:rsidR="00ED2B33" w:rsidRPr="005E5973" w:rsidRDefault="002079BB" w:rsidP="00567EB3">
      <w:pPr>
        <w:outlineLvl w:val="0"/>
        <w:rPr>
          <w:rFonts w:ascii="Arial" w:hAnsi="Arial" w:cs="Arial"/>
          <w:sz w:val="20"/>
          <w:szCs w:val="20"/>
          <w:lang w:val="fr-CH"/>
        </w:rPr>
      </w:pPr>
      <w:r w:rsidRPr="005E5973">
        <w:rPr>
          <w:rFonts w:ascii="Arial" w:hAnsi="Arial" w:cs="Arial"/>
          <w:sz w:val="20"/>
          <w:szCs w:val="20"/>
          <w:lang w:val="fr-CH"/>
        </w:rPr>
        <w:t>Le respect des fourchettes tactiques est régulièrement vérifié.</w:t>
      </w:r>
    </w:p>
    <w:p w14:paraId="66A393A0" w14:textId="77777777" w:rsidR="00ED2B33" w:rsidRPr="005E5973" w:rsidRDefault="00ED2B33" w:rsidP="00140095">
      <w:pPr>
        <w:rPr>
          <w:rFonts w:ascii="Arial" w:hAnsi="Arial" w:cs="Arial"/>
          <w:sz w:val="20"/>
          <w:szCs w:val="20"/>
          <w:lang w:val="fr-CH"/>
        </w:rPr>
      </w:pPr>
    </w:p>
    <w:p w14:paraId="3EF0D5DE" w14:textId="64D94889" w:rsidR="000515F5" w:rsidRPr="005E5973" w:rsidRDefault="002079BB" w:rsidP="000B67F5">
      <w:pPr>
        <w:pStyle w:val="Listenabsatz"/>
        <w:numPr>
          <w:ilvl w:val="0"/>
          <w:numId w:val="13"/>
        </w:numPr>
        <w:rPr>
          <w:rFonts w:ascii="Arial" w:hAnsi="Arial" w:cs="Arial"/>
          <w:b/>
          <w:color w:val="000000" w:themeColor="text1"/>
          <w:sz w:val="20"/>
          <w:szCs w:val="20"/>
          <w:u w:val="single"/>
          <w:lang w:val="fr-CH"/>
        </w:rPr>
      </w:pPr>
      <w:r w:rsidRPr="005E5973">
        <w:rPr>
          <w:rFonts w:ascii="Arial" w:hAnsi="Arial" w:cs="Arial"/>
          <w:b/>
          <w:color w:val="000000" w:themeColor="text1"/>
          <w:sz w:val="20"/>
          <w:szCs w:val="20"/>
          <w:u w:val="single"/>
          <w:lang w:val="fr-CH"/>
        </w:rPr>
        <w:lastRenderedPageBreak/>
        <w:t>Directives relatives aux diverses catégories de placement</w:t>
      </w:r>
    </w:p>
    <w:p w14:paraId="38498EA0" w14:textId="77777777" w:rsidR="000515F5" w:rsidRPr="005E5973" w:rsidRDefault="000515F5" w:rsidP="000515F5">
      <w:pPr>
        <w:pStyle w:val="Listenabsatz"/>
        <w:rPr>
          <w:rFonts w:ascii="Arial" w:hAnsi="Arial" w:cs="Arial"/>
          <w:b/>
          <w:color w:val="000000" w:themeColor="text1"/>
          <w:sz w:val="20"/>
          <w:szCs w:val="20"/>
          <w:u w:val="single"/>
          <w:lang w:val="fr-CH"/>
        </w:rPr>
      </w:pPr>
    </w:p>
    <w:p w14:paraId="78F155F4" w14:textId="705BBD47" w:rsidR="000515F5" w:rsidRPr="005E5973" w:rsidRDefault="002079BB" w:rsidP="000515F5">
      <w:pPr>
        <w:pStyle w:val="Listenabsatz"/>
        <w:numPr>
          <w:ilvl w:val="0"/>
          <w:numId w:val="15"/>
        </w:numPr>
        <w:rPr>
          <w:rFonts w:ascii="Arial" w:hAnsi="Arial" w:cs="Arial"/>
          <w:b/>
          <w:color w:val="000000" w:themeColor="text1"/>
          <w:sz w:val="20"/>
          <w:szCs w:val="20"/>
          <w:lang w:val="fr-CH"/>
        </w:rPr>
      </w:pPr>
      <w:r w:rsidRPr="005E5973">
        <w:rPr>
          <w:rFonts w:ascii="Arial" w:hAnsi="Arial" w:cs="Arial"/>
          <w:b/>
          <w:color w:val="000000" w:themeColor="text1"/>
          <w:sz w:val="20"/>
          <w:szCs w:val="20"/>
          <w:lang w:val="fr-CH"/>
        </w:rPr>
        <w:t>Obligations francs suisses</w:t>
      </w:r>
    </w:p>
    <w:p w14:paraId="5D7B7CEE" w14:textId="77777777" w:rsidR="000515F5" w:rsidRPr="005E5973" w:rsidRDefault="000515F5" w:rsidP="00140095">
      <w:pPr>
        <w:rPr>
          <w:rFonts w:ascii="Arial" w:hAnsi="Arial" w:cs="Arial"/>
          <w:lang w:val="fr-CH"/>
        </w:rPr>
      </w:pPr>
    </w:p>
    <w:p w14:paraId="6574AA13" w14:textId="7B616A31" w:rsidR="000515F5" w:rsidRPr="005E5973" w:rsidRDefault="002079BB" w:rsidP="00ED40EE">
      <w:pPr>
        <w:tabs>
          <w:tab w:val="left" w:pos="1134"/>
        </w:tabs>
        <w:rPr>
          <w:rFonts w:ascii="Arial" w:hAnsi="Arial" w:cs="Arial"/>
          <w:sz w:val="20"/>
          <w:szCs w:val="20"/>
          <w:lang w:val="fr-CH"/>
        </w:rPr>
      </w:pPr>
      <w:r w:rsidRPr="005E5973">
        <w:rPr>
          <w:rFonts w:ascii="Arial" w:hAnsi="Arial" w:cs="Arial"/>
          <w:sz w:val="20"/>
          <w:szCs w:val="20"/>
          <w:lang w:val="fr-CH"/>
        </w:rPr>
        <w:t>Les placements sont effectués en principe dans des titres individuels.</w:t>
      </w:r>
      <w:r w:rsidR="000515F5" w:rsidRPr="005E5973">
        <w:rPr>
          <w:rFonts w:ascii="Arial" w:hAnsi="Arial" w:cs="Arial"/>
          <w:sz w:val="20"/>
          <w:szCs w:val="20"/>
          <w:lang w:val="fr-CH"/>
        </w:rPr>
        <w:t xml:space="preserve"> </w:t>
      </w:r>
      <w:r w:rsidRPr="005E5973">
        <w:rPr>
          <w:rFonts w:ascii="Arial" w:hAnsi="Arial" w:cs="Arial"/>
          <w:sz w:val="20"/>
          <w:szCs w:val="20"/>
          <w:lang w:val="fr-CH"/>
        </w:rPr>
        <w:t>Pour des raisons de sécurité et de diversification, des placements collectifs peuvent également être utilisés.</w:t>
      </w:r>
      <w:r w:rsidR="000515F5" w:rsidRPr="005E5973">
        <w:rPr>
          <w:rFonts w:ascii="Arial" w:hAnsi="Arial" w:cs="Arial"/>
          <w:sz w:val="20"/>
          <w:szCs w:val="20"/>
          <w:lang w:val="fr-CH"/>
        </w:rPr>
        <w:t xml:space="preserve"> </w:t>
      </w:r>
      <w:r w:rsidRPr="005E5973">
        <w:rPr>
          <w:rFonts w:ascii="Arial" w:hAnsi="Arial" w:cs="Arial"/>
          <w:sz w:val="20"/>
          <w:szCs w:val="20"/>
          <w:lang w:val="fr-CH"/>
        </w:rPr>
        <w:t>Les actifs en obligations doivent être investis dans des obligations cotées, liquides et bien négociables des pouvoirs publics ou d’entreprises privées financièrement solides.</w:t>
      </w:r>
      <w:r w:rsidR="000515F5" w:rsidRPr="005E5973">
        <w:rPr>
          <w:rFonts w:ascii="Arial" w:hAnsi="Arial" w:cs="Arial"/>
          <w:sz w:val="20"/>
          <w:szCs w:val="20"/>
          <w:lang w:val="fr-CH"/>
        </w:rPr>
        <w:t xml:space="preserve"> </w:t>
      </w:r>
      <w:r w:rsidRPr="005E5973">
        <w:rPr>
          <w:rFonts w:ascii="Arial" w:hAnsi="Arial" w:cs="Arial"/>
          <w:sz w:val="20"/>
          <w:szCs w:val="20"/>
          <w:lang w:val="fr-CH"/>
        </w:rPr>
        <w:t>Si des obligations en CHF sont acquises sous forme de placements collectifs diversifiables, différents postes des placements collectifs peuvent présenter des notations dans le domaine non-</w:t>
      </w:r>
      <w:proofErr w:type="spellStart"/>
      <w:r w:rsidRPr="005E5973">
        <w:rPr>
          <w:rFonts w:ascii="Arial" w:hAnsi="Arial" w:cs="Arial"/>
          <w:sz w:val="20"/>
          <w:szCs w:val="20"/>
          <w:lang w:val="fr-CH"/>
        </w:rPr>
        <w:t>investment</w:t>
      </w:r>
      <w:proofErr w:type="spellEnd"/>
      <w:r w:rsidRPr="005E5973">
        <w:rPr>
          <w:rFonts w:ascii="Arial" w:hAnsi="Arial" w:cs="Arial"/>
          <w:sz w:val="20"/>
          <w:szCs w:val="20"/>
          <w:lang w:val="fr-CH"/>
        </w:rPr>
        <w:t xml:space="preserve"> grade.</w:t>
      </w:r>
      <w:r w:rsidR="000515F5" w:rsidRPr="005E5973">
        <w:rPr>
          <w:rFonts w:ascii="Arial" w:hAnsi="Arial" w:cs="Arial"/>
          <w:sz w:val="20"/>
          <w:szCs w:val="20"/>
          <w:lang w:val="fr-CH"/>
        </w:rPr>
        <w:t xml:space="preserve"> </w:t>
      </w:r>
      <w:r w:rsidRPr="005E5973">
        <w:rPr>
          <w:rFonts w:ascii="Arial" w:hAnsi="Arial" w:cs="Arial"/>
          <w:sz w:val="20"/>
          <w:szCs w:val="20"/>
          <w:lang w:val="fr-CH"/>
        </w:rPr>
        <w:t>Le total des obligations en CHF dans le domaine non-</w:t>
      </w:r>
      <w:proofErr w:type="spellStart"/>
      <w:r w:rsidRPr="005E5973">
        <w:rPr>
          <w:rFonts w:ascii="Arial" w:hAnsi="Arial" w:cs="Arial"/>
          <w:sz w:val="20"/>
          <w:szCs w:val="20"/>
          <w:lang w:val="fr-CH"/>
        </w:rPr>
        <w:t>investment</w:t>
      </w:r>
      <w:proofErr w:type="spellEnd"/>
      <w:r w:rsidRPr="005E5973">
        <w:rPr>
          <w:rFonts w:ascii="Arial" w:hAnsi="Arial" w:cs="Arial"/>
          <w:sz w:val="20"/>
          <w:szCs w:val="20"/>
          <w:lang w:val="fr-CH"/>
        </w:rPr>
        <w:t xml:space="preserve"> grade (notation BB+ ou moins bonne de Standard &amp; </w:t>
      </w:r>
      <w:proofErr w:type="spellStart"/>
      <w:r w:rsidRPr="005E5973">
        <w:rPr>
          <w:rFonts w:ascii="Arial" w:hAnsi="Arial" w:cs="Arial"/>
          <w:sz w:val="20"/>
          <w:szCs w:val="20"/>
          <w:lang w:val="fr-CH"/>
        </w:rPr>
        <w:t>Poor’s</w:t>
      </w:r>
      <w:proofErr w:type="spellEnd"/>
      <w:r w:rsidRPr="005E5973">
        <w:rPr>
          <w:rFonts w:ascii="Arial" w:hAnsi="Arial" w:cs="Arial"/>
          <w:sz w:val="20"/>
          <w:szCs w:val="20"/>
          <w:lang w:val="fr-CH"/>
        </w:rPr>
        <w:t>, notation Ba1 ou moins bonne de Moody’s ou les notations analogues des banques suisses, p. ex. BCZ, UBS, CS) ne peut en aucun cas dépasser 5 % de l’engagement total en obligations en CHF.</w:t>
      </w:r>
      <w:r w:rsidR="000515F5" w:rsidRPr="005E5973">
        <w:rPr>
          <w:rFonts w:ascii="Arial" w:hAnsi="Arial" w:cs="Arial"/>
          <w:sz w:val="20"/>
          <w:szCs w:val="20"/>
          <w:lang w:val="fr-CH"/>
        </w:rPr>
        <w:t xml:space="preserve"> </w:t>
      </w:r>
      <w:r w:rsidRPr="005E5973">
        <w:rPr>
          <w:rFonts w:ascii="Arial" w:hAnsi="Arial" w:cs="Arial"/>
          <w:sz w:val="20"/>
          <w:szCs w:val="20"/>
          <w:lang w:val="fr-CH"/>
        </w:rPr>
        <w:t>Si cette limitation est dépassée, le gérant d’actifs concerné décide rapidement et à sa discrétion conforme à ses obligations, de la procédure pertinente et en informe sans tarder la direction.</w:t>
      </w:r>
    </w:p>
    <w:p w14:paraId="3D676DD6" w14:textId="77777777" w:rsidR="00D16788" w:rsidRPr="005E5973" w:rsidRDefault="00D16788" w:rsidP="001C0AD3">
      <w:pPr>
        <w:tabs>
          <w:tab w:val="left" w:pos="1134"/>
        </w:tabs>
        <w:ind w:left="1134" w:hanging="1134"/>
        <w:rPr>
          <w:rFonts w:ascii="Arial" w:hAnsi="Arial" w:cs="Arial"/>
          <w:sz w:val="20"/>
          <w:szCs w:val="20"/>
          <w:lang w:val="fr-CH"/>
        </w:rPr>
      </w:pPr>
    </w:p>
    <w:p w14:paraId="47AD7F28" w14:textId="77777777" w:rsidR="001C0AD3" w:rsidRPr="005E5973" w:rsidRDefault="001C0AD3" w:rsidP="001C0AD3">
      <w:pPr>
        <w:tabs>
          <w:tab w:val="left" w:pos="1134"/>
        </w:tabs>
        <w:ind w:left="1134" w:hanging="1134"/>
        <w:rPr>
          <w:rFonts w:ascii="Arial" w:hAnsi="Arial" w:cs="Arial"/>
          <w:sz w:val="20"/>
          <w:szCs w:val="20"/>
          <w:lang w:val="fr-CH"/>
        </w:rPr>
      </w:pPr>
    </w:p>
    <w:p w14:paraId="65F3FCB8" w14:textId="3856E13A" w:rsidR="001C0AD3" w:rsidRPr="005E5973" w:rsidRDefault="002079BB" w:rsidP="00E139AA">
      <w:pPr>
        <w:pStyle w:val="Listenabsatz"/>
        <w:numPr>
          <w:ilvl w:val="0"/>
          <w:numId w:val="15"/>
        </w:numPr>
        <w:rPr>
          <w:rFonts w:ascii="Arial" w:hAnsi="Arial" w:cs="Arial"/>
          <w:b/>
          <w:color w:val="000000" w:themeColor="text1"/>
          <w:sz w:val="20"/>
          <w:szCs w:val="20"/>
          <w:lang w:val="fr-CH"/>
        </w:rPr>
      </w:pPr>
      <w:r w:rsidRPr="005E5973">
        <w:rPr>
          <w:rFonts w:ascii="Arial" w:hAnsi="Arial" w:cs="Arial"/>
          <w:b/>
          <w:color w:val="000000" w:themeColor="text1"/>
          <w:sz w:val="20"/>
          <w:szCs w:val="20"/>
          <w:lang w:val="fr-CH"/>
        </w:rPr>
        <w:t>Obligations en devises</w:t>
      </w:r>
    </w:p>
    <w:p w14:paraId="5C32FADB" w14:textId="77777777" w:rsidR="001C0AD3" w:rsidRPr="005E5973" w:rsidRDefault="001C0AD3" w:rsidP="00E139AA">
      <w:pPr>
        <w:tabs>
          <w:tab w:val="left" w:pos="1134"/>
        </w:tabs>
        <w:ind w:left="1134"/>
        <w:rPr>
          <w:rFonts w:ascii="Arial" w:hAnsi="Arial" w:cs="Arial"/>
          <w:sz w:val="20"/>
          <w:szCs w:val="20"/>
          <w:lang w:val="fr-CH"/>
        </w:rPr>
      </w:pPr>
      <w:r w:rsidRPr="005E5973">
        <w:rPr>
          <w:rFonts w:ascii="Arial" w:hAnsi="Arial" w:cs="Arial"/>
          <w:sz w:val="20"/>
          <w:szCs w:val="20"/>
          <w:lang w:val="fr-CH"/>
        </w:rPr>
        <w:tab/>
      </w:r>
    </w:p>
    <w:p w14:paraId="2ACE7F7F" w14:textId="6BA8C87C" w:rsidR="000515F5" w:rsidRPr="005E5973" w:rsidRDefault="002079BB" w:rsidP="00ED40EE">
      <w:pPr>
        <w:tabs>
          <w:tab w:val="left" w:pos="1418"/>
        </w:tabs>
        <w:rPr>
          <w:rFonts w:ascii="Arial" w:hAnsi="Arial" w:cs="Arial"/>
          <w:sz w:val="20"/>
          <w:szCs w:val="20"/>
          <w:lang w:val="fr-CH"/>
        </w:rPr>
      </w:pPr>
      <w:r w:rsidRPr="005E5973">
        <w:rPr>
          <w:rFonts w:ascii="Arial" w:hAnsi="Arial" w:cs="Arial"/>
          <w:sz w:val="20"/>
          <w:szCs w:val="20"/>
          <w:lang w:val="fr-CH"/>
        </w:rPr>
        <w:t>Les placements sont effectués en principe dans des titres individuels.</w:t>
      </w:r>
      <w:r w:rsidR="000515F5" w:rsidRPr="005E5973">
        <w:rPr>
          <w:rFonts w:ascii="Arial" w:hAnsi="Arial" w:cs="Arial"/>
          <w:sz w:val="20"/>
          <w:szCs w:val="20"/>
          <w:lang w:val="fr-CH"/>
        </w:rPr>
        <w:t xml:space="preserve"> </w:t>
      </w:r>
      <w:r w:rsidRPr="005E5973">
        <w:rPr>
          <w:rFonts w:ascii="Arial" w:hAnsi="Arial" w:cs="Arial"/>
          <w:sz w:val="20"/>
          <w:szCs w:val="20"/>
          <w:lang w:val="fr-CH"/>
        </w:rPr>
        <w:t>Pour des raisons de sécurité et de diversification, des placements collectifs peuvent également être utilisés.</w:t>
      </w:r>
      <w:r w:rsidR="000515F5" w:rsidRPr="005E5973">
        <w:rPr>
          <w:rFonts w:ascii="Arial" w:hAnsi="Arial" w:cs="Arial"/>
          <w:sz w:val="20"/>
          <w:szCs w:val="20"/>
          <w:lang w:val="fr-CH"/>
        </w:rPr>
        <w:t xml:space="preserve"> </w:t>
      </w:r>
      <w:r w:rsidRPr="005E5973">
        <w:rPr>
          <w:rFonts w:ascii="Arial" w:hAnsi="Arial" w:cs="Arial"/>
          <w:sz w:val="20"/>
          <w:szCs w:val="20"/>
          <w:lang w:val="fr-CH"/>
        </w:rPr>
        <w:t xml:space="preserve">Les actifs en obligations doivent être investis dans des obligations cotées, liquides et bien négociables des pouvoirs publics ou d’entreprises privées financièrement solides (notation au moins BBB- de Standard &amp; </w:t>
      </w:r>
      <w:proofErr w:type="spellStart"/>
      <w:r w:rsidRPr="005E5973">
        <w:rPr>
          <w:rFonts w:ascii="Arial" w:hAnsi="Arial" w:cs="Arial"/>
          <w:sz w:val="20"/>
          <w:szCs w:val="20"/>
          <w:lang w:val="fr-CH"/>
        </w:rPr>
        <w:t>Poor’s</w:t>
      </w:r>
      <w:proofErr w:type="spellEnd"/>
      <w:r w:rsidRPr="005E5973">
        <w:rPr>
          <w:rFonts w:ascii="Arial" w:hAnsi="Arial" w:cs="Arial"/>
          <w:sz w:val="20"/>
          <w:szCs w:val="20"/>
          <w:lang w:val="fr-CH"/>
        </w:rPr>
        <w:t xml:space="preserve"> </w:t>
      </w:r>
      <w:proofErr w:type="spellStart"/>
      <w:r w:rsidRPr="005E5973">
        <w:rPr>
          <w:rFonts w:ascii="Arial" w:hAnsi="Arial" w:cs="Arial"/>
          <w:sz w:val="20"/>
          <w:szCs w:val="20"/>
          <w:lang w:val="fr-CH"/>
        </w:rPr>
        <w:t>resp</w:t>
      </w:r>
      <w:proofErr w:type="spellEnd"/>
      <w:r w:rsidRPr="005E5973">
        <w:rPr>
          <w:rFonts w:ascii="Arial" w:hAnsi="Arial" w:cs="Arial"/>
          <w:sz w:val="20"/>
          <w:szCs w:val="20"/>
          <w:lang w:val="fr-CH"/>
        </w:rPr>
        <w:t>. Baa3 de Moody’s).</w:t>
      </w:r>
      <w:r w:rsidR="000515F5" w:rsidRPr="005E5973">
        <w:rPr>
          <w:rFonts w:ascii="Arial" w:hAnsi="Arial" w:cs="Arial"/>
          <w:sz w:val="20"/>
          <w:szCs w:val="20"/>
          <w:lang w:val="fr-CH"/>
        </w:rPr>
        <w:t xml:space="preserve"> </w:t>
      </w:r>
      <w:r w:rsidRPr="005E5973">
        <w:rPr>
          <w:rFonts w:ascii="Arial" w:hAnsi="Arial" w:cs="Arial"/>
          <w:sz w:val="20"/>
          <w:szCs w:val="20"/>
          <w:lang w:val="fr-CH"/>
        </w:rPr>
        <w:t>En cas de dégradation sous la notation précitée, le gérant d’actifs décide rapidement et à sa discrétion conforme à ses obligations, de la procédure pertinente.</w:t>
      </w:r>
      <w:r w:rsidR="000515F5" w:rsidRPr="005E5973">
        <w:rPr>
          <w:rFonts w:ascii="Arial" w:hAnsi="Arial" w:cs="Arial"/>
          <w:sz w:val="20"/>
          <w:szCs w:val="20"/>
          <w:lang w:val="fr-CH"/>
        </w:rPr>
        <w:t xml:space="preserve"> </w:t>
      </w:r>
      <w:r w:rsidRPr="005E5973">
        <w:rPr>
          <w:rFonts w:ascii="Arial" w:hAnsi="Arial" w:cs="Arial"/>
          <w:sz w:val="20"/>
          <w:szCs w:val="20"/>
          <w:lang w:val="fr-CH"/>
        </w:rPr>
        <w:t>Il en informe sans tarder la direction.</w:t>
      </w:r>
      <w:r w:rsidR="0070042F" w:rsidRPr="005E5973">
        <w:rPr>
          <w:rFonts w:ascii="Arial" w:hAnsi="Arial" w:cs="Arial"/>
          <w:sz w:val="20"/>
          <w:szCs w:val="20"/>
          <w:lang w:val="fr-CH"/>
        </w:rPr>
        <w:t xml:space="preserve"> </w:t>
      </w:r>
      <w:r w:rsidR="000515F5" w:rsidRPr="005E5973">
        <w:rPr>
          <w:rFonts w:ascii="Arial" w:hAnsi="Arial" w:cs="Arial"/>
          <w:sz w:val="20"/>
          <w:szCs w:val="20"/>
          <w:lang w:val="fr-CH"/>
        </w:rPr>
        <w:t xml:space="preserve"> </w:t>
      </w:r>
    </w:p>
    <w:p w14:paraId="4EFE001B" w14:textId="77777777" w:rsidR="000515F5" w:rsidRPr="005E5973" w:rsidRDefault="000515F5" w:rsidP="001C0AD3">
      <w:pPr>
        <w:tabs>
          <w:tab w:val="left" w:pos="1418"/>
        </w:tabs>
        <w:rPr>
          <w:rFonts w:ascii="Arial" w:hAnsi="Arial" w:cs="Arial"/>
          <w:sz w:val="20"/>
          <w:szCs w:val="20"/>
          <w:lang w:val="fr-CH"/>
        </w:rPr>
      </w:pPr>
    </w:p>
    <w:p w14:paraId="545046F1" w14:textId="77777777" w:rsidR="00E139AA" w:rsidRPr="005E5973" w:rsidRDefault="00E139AA" w:rsidP="00E139AA">
      <w:pPr>
        <w:pStyle w:val="Listenabsatz"/>
        <w:ind w:left="1080"/>
        <w:rPr>
          <w:rFonts w:ascii="Arial" w:hAnsi="Arial" w:cs="Arial"/>
          <w:b/>
          <w:color w:val="000000" w:themeColor="text1"/>
          <w:sz w:val="20"/>
          <w:szCs w:val="20"/>
          <w:lang w:val="fr-CH"/>
        </w:rPr>
      </w:pPr>
    </w:p>
    <w:p w14:paraId="26BE6BD6" w14:textId="77777777" w:rsidR="00E139AA" w:rsidRPr="005E5973" w:rsidRDefault="00E139AA" w:rsidP="00E139AA">
      <w:pPr>
        <w:pStyle w:val="Listenabsatz"/>
        <w:ind w:left="1080"/>
        <w:rPr>
          <w:rFonts w:ascii="Arial" w:hAnsi="Arial" w:cs="Arial"/>
          <w:b/>
          <w:color w:val="000000" w:themeColor="text1"/>
          <w:sz w:val="20"/>
          <w:szCs w:val="20"/>
          <w:lang w:val="fr-CH"/>
        </w:rPr>
      </w:pPr>
    </w:p>
    <w:p w14:paraId="723BB3E0" w14:textId="77777777" w:rsidR="00140095" w:rsidRPr="005E5973" w:rsidRDefault="00140095" w:rsidP="00140095">
      <w:pPr>
        <w:rPr>
          <w:rFonts w:ascii="Arial" w:hAnsi="Arial" w:cs="Arial"/>
          <w:lang w:val="fr-CH"/>
        </w:rPr>
      </w:pPr>
    </w:p>
    <w:p w14:paraId="1FACA9E4" w14:textId="7691564F" w:rsidR="00CA4C11" w:rsidRPr="005E5973" w:rsidRDefault="002079BB" w:rsidP="00567EB3">
      <w:pPr>
        <w:pStyle w:val="Listenabsatz"/>
        <w:ind w:left="0"/>
        <w:outlineLvl w:val="0"/>
        <w:rPr>
          <w:rFonts w:ascii="Arial" w:hAnsi="Arial" w:cs="Arial"/>
          <w:b/>
          <w:i/>
          <w:color w:val="984806" w:themeColor="accent6" w:themeShade="80"/>
          <w:sz w:val="20"/>
          <w:szCs w:val="20"/>
          <w:u w:val="single"/>
          <w:lang w:val="fr-CH"/>
        </w:rPr>
      </w:pPr>
      <w:r w:rsidRPr="005E5973">
        <w:rPr>
          <w:rFonts w:ascii="Arial" w:hAnsi="Arial" w:cs="Arial"/>
          <w:b/>
          <w:i/>
          <w:sz w:val="20"/>
          <w:szCs w:val="20"/>
          <w:u w:val="single"/>
          <w:lang w:val="fr-CH"/>
        </w:rPr>
        <w:t>Restrictions supplémentaires:</w:t>
      </w:r>
    </w:p>
    <w:p w14:paraId="342A4811" w14:textId="77777777" w:rsidR="008E2CB4" w:rsidRPr="005E5973" w:rsidRDefault="008E2CB4" w:rsidP="008E2CB4">
      <w:pPr>
        <w:pStyle w:val="Listenabsatz"/>
        <w:rPr>
          <w:rFonts w:ascii="Arial" w:hAnsi="Arial" w:cs="Arial"/>
          <w:b/>
          <w:sz w:val="20"/>
          <w:szCs w:val="20"/>
          <w:lang w:val="fr-CH"/>
        </w:rPr>
      </w:pPr>
    </w:p>
    <w:p w14:paraId="1CB1064D" w14:textId="5AE56B1B" w:rsidR="007C3D70" w:rsidRPr="005E5973" w:rsidRDefault="002079BB" w:rsidP="00CA4C11">
      <w:pPr>
        <w:pStyle w:val="Listenabsatz"/>
        <w:numPr>
          <w:ilvl w:val="0"/>
          <w:numId w:val="38"/>
        </w:numPr>
        <w:rPr>
          <w:rFonts w:ascii="Arial" w:hAnsi="Arial" w:cs="Arial"/>
          <w:i/>
          <w:sz w:val="20"/>
          <w:szCs w:val="20"/>
          <w:lang w:val="fr-CH"/>
        </w:rPr>
      </w:pPr>
      <w:r w:rsidRPr="005E5973">
        <w:rPr>
          <w:rFonts w:ascii="Arial" w:hAnsi="Arial" w:cs="Arial"/>
          <w:i/>
          <w:sz w:val="20"/>
          <w:szCs w:val="20"/>
          <w:lang w:val="fr-CH"/>
        </w:rPr>
        <w:t>Pas de restrictions spécifiques à tel ou tel titre</w:t>
      </w:r>
    </w:p>
    <w:p w14:paraId="4E4B7663" w14:textId="77777777" w:rsidR="007C3D70" w:rsidRPr="005E5973" w:rsidRDefault="007C3D70" w:rsidP="007C3D70">
      <w:pPr>
        <w:rPr>
          <w:rFonts w:ascii="Arial" w:hAnsi="Arial" w:cs="Arial"/>
          <w:i/>
          <w:szCs w:val="20"/>
          <w:lang w:val="fr-CH"/>
        </w:rPr>
      </w:pPr>
    </w:p>
    <w:p w14:paraId="40099991" w14:textId="77777777" w:rsidR="007C3D70" w:rsidRPr="005E5973" w:rsidRDefault="007C3D70" w:rsidP="007C3D70">
      <w:pPr>
        <w:rPr>
          <w:rFonts w:ascii="Arial" w:hAnsi="Arial" w:cs="Arial"/>
          <w:i/>
          <w:szCs w:val="20"/>
          <w:lang w:val="fr-CH"/>
        </w:rPr>
      </w:pPr>
    </w:p>
    <w:p w14:paraId="4B553534" w14:textId="77777777" w:rsidR="003971C4" w:rsidRPr="005E5973" w:rsidRDefault="003971C4" w:rsidP="00140095">
      <w:pPr>
        <w:rPr>
          <w:rFonts w:ascii="Arial" w:hAnsi="Arial" w:cs="Arial"/>
          <w:lang w:val="fr-CH"/>
        </w:rPr>
      </w:pPr>
    </w:p>
    <w:p w14:paraId="1EE6EA74" w14:textId="77777777" w:rsidR="00140095" w:rsidRPr="005E5973" w:rsidRDefault="00140095" w:rsidP="00140095">
      <w:pPr>
        <w:rPr>
          <w:rFonts w:ascii="Arial" w:hAnsi="Arial" w:cs="Arial"/>
          <w:lang w:val="fr-CH"/>
        </w:rPr>
      </w:pPr>
    </w:p>
    <w:p w14:paraId="1BBD2076" w14:textId="77777777" w:rsidR="00A91B19" w:rsidRPr="005E5973" w:rsidRDefault="00A91B19" w:rsidP="00140095">
      <w:pPr>
        <w:rPr>
          <w:rFonts w:ascii="Arial" w:hAnsi="Arial" w:cs="Arial"/>
          <w:lang w:val="fr-CH"/>
        </w:rPr>
      </w:pPr>
    </w:p>
    <w:p w14:paraId="61113CF0" w14:textId="77777777" w:rsidR="00D16788" w:rsidRPr="005E5973" w:rsidRDefault="00D16788" w:rsidP="0078766C">
      <w:pPr>
        <w:jc w:val="center"/>
        <w:rPr>
          <w:rFonts w:ascii="Arial" w:hAnsi="Arial" w:cs="Arial"/>
          <w:b/>
          <w:lang w:val="fr-CH"/>
        </w:rPr>
      </w:pPr>
    </w:p>
    <w:p w14:paraId="6D5B9AC7" w14:textId="77777777" w:rsidR="00D16788" w:rsidRPr="005E5973" w:rsidRDefault="00D16788" w:rsidP="007E3D45">
      <w:pPr>
        <w:rPr>
          <w:rFonts w:ascii="Arial" w:hAnsi="Arial" w:cs="Arial"/>
          <w:b/>
          <w:lang w:val="fr-CH"/>
        </w:rPr>
      </w:pPr>
    </w:p>
    <w:p w14:paraId="7F22E955" w14:textId="77777777" w:rsidR="00ED40EE" w:rsidRPr="005E5973" w:rsidRDefault="00ED40EE">
      <w:pPr>
        <w:rPr>
          <w:rFonts w:ascii="Arial" w:hAnsi="Arial" w:cs="Arial"/>
          <w:b/>
          <w:lang w:val="fr-CH"/>
        </w:rPr>
      </w:pPr>
      <w:r w:rsidRPr="005E5973">
        <w:rPr>
          <w:rFonts w:ascii="Arial" w:hAnsi="Arial" w:cs="Arial"/>
          <w:b/>
          <w:lang w:val="fr-CH"/>
        </w:rPr>
        <w:br w:type="page"/>
      </w:r>
    </w:p>
    <w:p w14:paraId="1F3FDE22" w14:textId="0F9A7544" w:rsidR="007E3D45" w:rsidRPr="005E5973" w:rsidRDefault="002079BB" w:rsidP="007E3D45">
      <w:pPr>
        <w:rPr>
          <w:rFonts w:ascii="Arial" w:hAnsi="Arial" w:cs="Arial"/>
          <w:b/>
          <w:sz w:val="20"/>
          <w:szCs w:val="20"/>
          <w:lang w:val="fr-CH"/>
        </w:rPr>
      </w:pPr>
      <w:r w:rsidRPr="005E5973">
        <w:rPr>
          <w:rFonts w:ascii="Arial" w:hAnsi="Arial" w:cs="Arial"/>
          <w:b/>
          <w:sz w:val="20"/>
          <w:szCs w:val="20"/>
          <w:lang w:val="fr-CH"/>
        </w:rPr>
        <w:lastRenderedPageBreak/>
        <w:t>Annexe 2</w:t>
      </w:r>
      <w:r w:rsidR="00857930" w:rsidRPr="005E5973">
        <w:rPr>
          <w:rFonts w:ascii="Arial" w:hAnsi="Arial" w:cs="Arial"/>
          <w:b/>
          <w:sz w:val="20"/>
          <w:szCs w:val="20"/>
          <w:lang w:val="fr-CH"/>
        </w:rPr>
        <w:tab/>
      </w:r>
      <w:r w:rsidRPr="005E5973">
        <w:rPr>
          <w:rFonts w:ascii="Arial" w:hAnsi="Arial" w:cs="Arial"/>
          <w:sz w:val="20"/>
          <w:szCs w:val="20"/>
          <w:lang w:val="fr-CH"/>
        </w:rPr>
        <w:t>au règlement en matière de placements</w:t>
      </w:r>
      <w:r w:rsidR="006379FC" w:rsidRPr="005E5973">
        <w:rPr>
          <w:rFonts w:ascii="Arial" w:hAnsi="Arial" w:cs="Arial"/>
          <w:sz w:val="20"/>
          <w:szCs w:val="20"/>
          <w:lang w:val="fr-CH"/>
        </w:rPr>
        <w:t xml:space="preserve"> </w:t>
      </w:r>
    </w:p>
    <w:p w14:paraId="703974F9" w14:textId="77777777" w:rsidR="00A91B19" w:rsidRPr="005E5973" w:rsidRDefault="00A91B19" w:rsidP="007E3D45">
      <w:pPr>
        <w:rPr>
          <w:rFonts w:ascii="Arial" w:hAnsi="Arial" w:cs="Arial"/>
          <w:sz w:val="20"/>
          <w:lang w:val="fr-CH"/>
        </w:rPr>
      </w:pPr>
    </w:p>
    <w:p w14:paraId="67495E41" w14:textId="77777777" w:rsidR="00A91B19" w:rsidRPr="005E5973" w:rsidRDefault="00A91B19" w:rsidP="007E3D45">
      <w:pPr>
        <w:rPr>
          <w:rFonts w:ascii="Arial" w:hAnsi="Arial" w:cs="Arial"/>
          <w:sz w:val="20"/>
          <w:lang w:val="fr-CH"/>
        </w:rPr>
      </w:pPr>
    </w:p>
    <w:p w14:paraId="04B1CFBD" w14:textId="29D98FF5" w:rsidR="007E3D45" w:rsidRPr="005E5973" w:rsidRDefault="002079BB" w:rsidP="00567EB3">
      <w:pPr>
        <w:outlineLvl w:val="0"/>
        <w:rPr>
          <w:rFonts w:ascii="Arial" w:hAnsi="Arial" w:cs="Arial"/>
          <w:b/>
          <w:sz w:val="20"/>
          <w:szCs w:val="20"/>
          <w:u w:val="single"/>
          <w:lang w:val="fr-CH"/>
        </w:rPr>
      </w:pPr>
      <w:r w:rsidRPr="005E5973">
        <w:rPr>
          <w:rFonts w:ascii="Arial" w:hAnsi="Arial" w:cs="Arial"/>
          <w:b/>
          <w:sz w:val="20"/>
          <w:szCs w:val="20"/>
          <w:u w:val="single"/>
          <w:lang w:val="fr-CH"/>
        </w:rPr>
        <w:t>Critères positifs</w:t>
      </w:r>
    </w:p>
    <w:p w14:paraId="347B3D42" w14:textId="77777777" w:rsidR="007E3D45" w:rsidRPr="005E5973" w:rsidRDefault="007E3D45" w:rsidP="007E3D45">
      <w:pPr>
        <w:rPr>
          <w:rFonts w:ascii="Arial" w:hAnsi="Arial" w:cs="Arial"/>
          <w:sz w:val="20"/>
          <w:szCs w:val="20"/>
          <w:lang w:val="fr-CH"/>
        </w:rPr>
      </w:pPr>
    </w:p>
    <w:p w14:paraId="76E9DE45" w14:textId="77777777" w:rsidR="00A91B19" w:rsidRPr="005E5973" w:rsidRDefault="00A91B19" w:rsidP="007E3D45">
      <w:pPr>
        <w:rPr>
          <w:rFonts w:ascii="Arial" w:hAnsi="Arial" w:cs="Arial"/>
          <w:sz w:val="20"/>
          <w:szCs w:val="20"/>
          <w:lang w:val="fr-CH"/>
        </w:rPr>
      </w:pPr>
    </w:p>
    <w:p w14:paraId="05010058" w14:textId="0A364041" w:rsidR="007E3D45" w:rsidRPr="005E5973" w:rsidRDefault="002079BB" w:rsidP="007E3D45">
      <w:pPr>
        <w:rPr>
          <w:rFonts w:ascii="Arial" w:hAnsi="Arial" w:cs="Arial"/>
          <w:color w:val="FF0000"/>
          <w:sz w:val="20"/>
          <w:szCs w:val="20"/>
          <w:lang w:val="fr-CH"/>
        </w:rPr>
      </w:pPr>
      <w:r w:rsidRPr="005E5973">
        <w:rPr>
          <w:rFonts w:ascii="Arial" w:hAnsi="Arial" w:cs="Arial"/>
          <w:sz w:val="20"/>
          <w:szCs w:val="20"/>
          <w:lang w:val="fr-CH"/>
        </w:rPr>
        <w:t>Les investissements seront effectués à titre privilégié dans les entreprises suivantes:</w:t>
      </w:r>
      <w:r w:rsidR="007E3D45" w:rsidRPr="005E5973">
        <w:rPr>
          <w:rFonts w:ascii="Arial" w:hAnsi="Arial" w:cs="Arial"/>
          <w:sz w:val="20"/>
          <w:szCs w:val="20"/>
          <w:lang w:val="fr-CH"/>
        </w:rPr>
        <w:t xml:space="preserve"> </w:t>
      </w:r>
    </w:p>
    <w:p w14:paraId="1276EC70" w14:textId="77777777" w:rsidR="007E3D45" w:rsidRPr="005E5973" w:rsidRDefault="007E3D45" w:rsidP="007E3D45">
      <w:pPr>
        <w:rPr>
          <w:rFonts w:ascii="Arial" w:hAnsi="Arial" w:cs="Arial"/>
          <w:color w:val="FF0000"/>
          <w:sz w:val="20"/>
          <w:szCs w:val="20"/>
          <w:lang w:val="fr-CH"/>
        </w:rPr>
      </w:pPr>
    </w:p>
    <w:p w14:paraId="77594E90" w14:textId="63DD27DE" w:rsidR="007E3D45" w:rsidRPr="005E5973" w:rsidRDefault="002079BB" w:rsidP="00567EB3">
      <w:pPr>
        <w:outlineLvl w:val="0"/>
        <w:rPr>
          <w:rFonts w:ascii="Arial" w:hAnsi="Arial" w:cs="Arial"/>
          <w:color w:val="000000" w:themeColor="text1"/>
          <w:sz w:val="20"/>
          <w:szCs w:val="20"/>
          <w:lang w:val="fr-CH"/>
        </w:rPr>
      </w:pPr>
      <w:r w:rsidRPr="005E5973">
        <w:rPr>
          <w:rFonts w:ascii="Arial" w:hAnsi="Arial" w:cs="Arial"/>
          <w:color w:val="000000" w:themeColor="text1"/>
          <w:sz w:val="20"/>
          <w:szCs w:val="20"/>
          <w:lang w:val="fr-CH"/>
        </w:rPr>
        <w:t>Domaine droits de l’homme / conditions de travail</w:t>
      </w:r>
    </w:p>
    <w:p w14:paraId="3827EE43" w14:textId="77777777" w:rsidR="007E3D45" w:rsidRPr="005E5973" w:rsidRDefault="007E3D45" w:rsidP="007E3D45">
      <w:pPr>
        <w:rPr>
          <w:rFonts w:ascii="Arial" w:hAnsi="Arial" w:cs="Arial"/>
          <w:color w:val="000000" w:themeColor="text1"/>
          <w:sz w:val="20"/>
          <w:szCs w:val="20"/>
          <w:lang w:val="fr-CH"/>
        </w:rPr>
      </w:pPr>
    </w:p>
    <w:p w14:paraId="6EEC553B" w14:textId="5F4D1CAD" w:rsidR="00E74B54" w:rsidRPr="005E5973" w:rsidRDefault="002079BB" w:rsidP="00ED40EE">
      <w:pPr>
        <w:pStyle w:val="Listenabsatz"/>
        <w:numPr>
          <w:ilvl w:val="0"/>
          <w:numId w:val="34"/>
        </w:numPr>
        <w:rPr>
          <w:rFonts w:ascii="Arial" w:hAnsi="Arial" w:cs="Arial"/>
          <w:color w:val="000000" w:themeColor="text1"/>
          <w:sz w:val="20"/>
          <w:szCs w:val="20"/>
          <w:lang w:val="fr-CH"/>
        </w:rPr>
      </w:pPr>
      <w:r w:rsidRPr="005E5973">
        <w:rPr>
          <w:rFonts w:ascii="Arial" w:hAnsi="Arial" w:cs="Arial"/>
          <w:color w:val="000000" w:themeColor="text1"/>
          <w:sz w:val="20"/>
          <w:szCs w:val="20"/>
          <w:lang w:val="fr-CH"/>
        </w:rPr>
        <w:t>Les entreprises prenant des mesures claires contre la discrimination</w:t>
      </w:r>
    </w:p>
    <w:p w14:paraId="7B8EB0EA" w14:textId="77777777" w:rsidR="00E74B54" w:rsidRPr="005E5973" w:rsidRDefault="00E74B54" w:rsidP="00E74B54">
      <w:pPr>
        <w:ind w:left="360"/>
        <w:rPr>
          <w:rFonts w:ascii="Arial" w:hAnsi="Arial" w:cs="Arial"/>
          <w:color w:val="000000" w:themeColor="text1"/>
          <w:sz w:val="20"/>
          <w:szCs w:val="20"/>
          <w:lang w:val="fr-CH"/>
        </w:rPr>
      </w:pPr>
    </w:p>
    <w:p w14:paraId="2C260435" w14:textId="1D38AE3B" w:rsidR="00E74B54" w:rsidRPr="005E5973" w:rsidRDefault="002079BB" w:rsidP="00ED40EE">
      <w:pPr>
        <w:pStyle w:val="Listenabsatz"/>
        <w:numPr>
          <w:ilvl w:val="0"/>
          <w:numId w:val="34"/>
        </w:numPr>
        <w:rPr>
          <w:rFonts w:ascii="Arial" w:hAnsi="Arial" w:cs="Arial"/>
          <w:color w:val="000000" w:themeColor="text1"/>
          <w:sz w:val="20"/>
          <w:szCs w:val="20"/>
          <w:lang w:val="fr-CH"/>
        </w:rPr>
      </w:pPr>
      <w:r w:rsidRPr="005E5973">
        <w:rPr>
          <w:rFonts w:ascii="Arial" w:hAnsi="Arial" w:cs="Arial"/>
          <w:color w:val="000000" w:themeColor="text1"/>
          <w:sz w:val="20"/>
          <w:szCs w:val="20"/>
          <w:lang w:val="fr-CH"/>
        </w:rPr>
        <w:t>Les entreprises satisfaisant à des conditions de travail cohérentes au niveau mondial</w:t>
      </w:r>
    </w:p>
    <w:p w14:paraId="497C4131" w14:textId="77777777" w:rsidR="00E74B54" w:rsidRPr="005E5973" w:rsidRDefault="00E74B54" w:rsidP="00E74B54">
      <w:pPr>
        <w:ind w:left="360"/>
        <w:rPr>
          <w:rFonts w:ascii="Arial" w:hAnsi="Arial" w:cs="Arial"/>
          <w:color w:val="000000" w:themeColor="text1"/>
          <w:sz w:val="20"/>
          <w:szCs w:val="20"/>
          <w:lang w:val="fr-CH"/>
        </w:rPr>
      </w:pPr>
    </w:p>
    <w:p w14:paraId="3EDDC9C5" w14:textId="77B8958E" w:rsidR="00E74B54" w:rsidRPr="005E5973" w:rsidRDefault="002079BB" w:rsidP="00ED40EE">
      <w:pPr>
        <w:pStyle w:val="Listenabsatz"/>
        <w:numPr>
          <w:ilvl w:val="0"/>
          <w:numId w:val="34"/>
        </w:numPr>
        <w:rPr>
          <w:rFonts w:ascii="Arial" w:hAnsi="Arial" w:cs="Arial"/>
          <w:color w:val="000000" w:themeColor="text1"/>
          <w:sz w:val="20"/>
          <w:szCs w:val="20"/>
          <w:lang w:val="fr-CH"/>
        </w:rPr>
      </w:pPr>
      <w:r w:rsidRPr="005E5973">
        <w:rPr>
          <w:rFonts w:ascii="Arial" w:hAnsi="Arial" w:cs="Arial"/>
          <w:color w:val="000000" w:themeColor="text1"/>
          <w:sz w:val="20"/>
          <w:szCs w:val="20"/>
          <w:lang w:val="fr-CH"/>
        </w:rPr>
        <w:t>Les entreprises tenant compte des us et coutumes locales et les respectant</w:t>
      </w:r>
    </w:p>
    <w:p w14:paraId="5D9263A8" w14:textId="77777777" w:rsidR="00E74B54" w:rsidRPr="005E5973" w:rsidRDefault="00E74B54" w:rsidP="00E74B54">
      <w:pPr>
        <w:ind w:left="360"/>
        <w:rPr>
          <w:rFonts w:ascii="Arial" w:hAnsi="Arial" w:cs="Arial"/>
          <w:color w:val="000000" w:themeColor="text1"/>
          <w:sz w:val="20"/>
          <w:szCs w:val="20"/>
          <w:lang w:val="fr-CH"/>
        </w:rPr>
      </w:pPr>
    </w:p>
    <w:p w14:paraId="5405FCBF" w14:textId="77E0E80B" w:rsidR="00E74B54" w:rsidRPr="005E5973" w:rsidRDefault="002079BB" w:rsidP="00ED40EE">
      <w:pPr>
        <w:pStyle w:val="Listenabsatz"/>
        <w:numPr>
          <w:ilvl w:val="0"/>
          <w:numId w:val="34"/>
        </w:numPr>
        <w:rPr>
          <w:rFonts w:ascii="Arial" w:hAnsi="Arial" w:cs="Arial"/>
          <w:color w:val="000000" w:themeColor="text1"/>
          <w:sz w:val="20"/>
          <w:szCs w:val="20"/>
          <w:lang w:val="fr-CH"/>
        </w:rPr>
      </w:pPr>
      <w:r w:rsidRPr="005E5973">
        <w:rPr>
          <w:rFonts w:ascii="Arial" w:hAnsi="Arial" w:cs="Arial"/>
          <w:color w:val="000000" w:themeColor="text1"/>
          <w:sz w:val="20"/>
          <w:szCs w:val="20"/>
          <w:lang w:val="fr-CH"/>
        </w:rPr>
        <w:t>Les entreprises dans lesquelles des contrôles indépendants des conditions de travail et des conditions de sécurité sont effectués</w:t>
      </w:r>
    </w:p>
    <w:p w14:paraId="04BE07A1" w14:textId="77777777" w:rsidR="00E74B54" w:rsidRPr="005E5973" w:rsidRDefault="00E74B54" w:rsidP="00E74B54">
      <w:pPr>
        <w:ind w:left="360"/>
        <w:rPr>
          <w:rFonts w:ascii="Arial" w:hAnsi="Arial" w:cs="Arial"/>
          <w:color w:val="000000" w:themeColor="text1"/>
          <w:sz w:val="20"/>
          <w:szCs w:val="20"/>
          <w:lang w:val="fr-CH"/>
        </w:rPr>
      </w:pPr>
    </w:p>
    <w:p w14:paraId="09374F9B" w14:textId="7FD37B96" w:rsidR="00E74B54" w:rsidRPr="005E5973" w:rsidRDefault="002079BB" w:rsidP="00ED40EE">
      <w:pPr>
        <w:pStyle w:val="Listenabsatz"/>
        <w:numPr>
          <w:ilvl w:val="0"/>
          <w:numId w:val="34"/>
        </w:numPr>
        <w:rPr>
          <w:rFonts w:ascii="Arial" w:hAnsi="Arial" w:cs="Arial"/>
          <w:color w:val="000000" w:themeColor="text1"/>
          <w:sz w:val="20"/>
          <w:szCs w:val="20"/>
          <w:lang w:val="fr-CH"/>
        </w:rPr>
      </w:pPr>
      <w:r w:rsidRPr="005E5973">
        <w:rPr>
          <w:rFonts w:ascii="Arial" w:hAnsi="Arial" w:cs="Arial"/>
          <w:color w:val="000000" w:themeColor="text1"/>
          <w:sz w:val="20"/>
          <w:szCs w:val="20"/>
          <w:lang w:val="fr-CH"/>
        </w:rPr>
        <w:t>Les entreprises promouvant la qualité de vie durable sur les marchés sous-approvisionnés et respectant strictement les droits de l’homme</w:t>
      </w:r>
    </w:p>
    <w:p w14:paraId="29F5B5EA" w14:textId="77777777" w:rsidR="00E74B54" w:rsidRPr="005E5973" w:rsidRDefault="00E74B54" w:rsidP="00E74B54">
      <w:pPr>
        <w:ind w:left="360"/>
        <w:rPr>
          <w:rFonts w:ascii="Arial" w:hAnsi="Arial" w:cs="Arial"/>
          <w:color w:val="000000" w:themeColor="text1"/>
          <w:sz w:val="20"/>
          <w:szCs w:val="20"/>
          <w:lang w:val="fr-CH"/>
        </w:rPr>
      </w:pPr>
    </w:p>
    <w:p w14:paraId="5250AC38" w14:textId="5777F79D" w:rsidR="0071340B" w:rsidRPr="005E5973" w:rsidRDefault="002079BB" w:rsidP="00ED40EE">
      <w:pPr>
        <w:pStyle w:val="Listenabsatz"/>
        <w:numPr>
          <w:ilvl w:val="0"/>
          <w:numId w:val="34"/>
        </w:numPr>
        <w:rPr>
          <w:rFonts w:ascii="Arial" w:hAnsi="Arial" w:cs="Arial"/>
          <w:color w:val="000000" w:themeColor="text1"/>
          <w:sz w:val="20"/>
          <w:szCs w:val="20"/>
          <w:lang w:val="fr-CH"/>
        </w:rPr>
      </w:pPr>
      <w:r w:rsidRPr="005E5973">
        <w:rPr>
          <w:rFonts w:ascii="Arial" w:hAnsi="Arial" w:cs="Arial"/>
          <w:color w:val="000000" w:themeColor="text1"/>
          <w:sz w:val="20"/>
          <w:szCs w:val="20"/>
          <w:lang w:val="fr-CH"/>
        </w:rPr>
        <w:t>Les entreprises proposant des possibilités de formation initiale et continue pour les employés et les jeunes recrues</w:t>
      </w:r>
    </w:p>
    <w:p w14:paraId="7BEBD4DB" w14:textId="77777777" w:rsidR="0071340B" w:rsidRPr="005E5973" w:rsidRDefault="0071340B" w:rsidP="0071340B">
      <w:pPr>
        <w:rPr>
          <w:rFonts w:ascii="Arial" w:hAnsi="Arial" w:cs="Arial"/>
          <w:color w:val="000000" w:themeColor="text1"/>
          <w:sz w:val="20"/>
          <w:szCs w:val="20"/>
          <w:lang w:val="fr-CH"/>
        </w:rPr>
      </w:pPr>
    </w:p>
    <w:p w14:paraId="2151C0B5" w14:textId="77777777" w:rsidR="00B53B3D" w:rsidRPr="005E5973" w:rsidRDefault="00B53B3D" w:rsidP="00B53B3D">
      <w:pPr>
        <w:pStyle w:val="Listenabsatz"/>
        <w:rPr>
          <w:rFonts w:ascii="Arial" w:hAnsi="Arial" w:cs="Arial"/>
          <w:color w:val="000000" w:themeColor="text1"/>
          <w:sz w:val="20"/>
          <w:szCs w:val="20"/>
          <w:lang w:val="fr-CH"/>
        </w:rPr>
      </w:pPr>
    </w:p>
    <w:p w14:paraId="585AB000" w14:textId="77777777" w:rsidR="00B53B3D" w:rsidRPr="005E5973" w:rsidRDefault="00B53B3D" w:rsidP="00B53B3D">
      <w:pPr>
        <w:pStyle w:val="Listenabsatz"/>
        <w:rPr>
          <w:rFonts w:ascii="Arial" w:hAnsi="Arial" w:cs="Arial"/>
          <w:color w:val="000000" w:themeColor="text1"/>
          <w:sz w:val="20"/>
          <w:szCs w:val="20"/>
          <w:lang w:val="fr-CH"/>
        </w:rPr>
      </w:pPr>
    </w:p>
    <w:p w14:paraId="2A1EDE72" w14:textId="77777777" w:rsidR="00B53B3D" w:rsidRPr="005E5973" w:rsidRDefault="00B53B3D" w:rsidP="00B53B3D">
      <w:pPr>
        <w:pStyle w:val="Listenabsatz"/>
        <w:rPr>
          <w:rFonts w:ascii="Arial" w:hAnsi="Arial" w:cs="Arial"/>
          <w:color w:val="000000" w:themeColor="text1"/>
          <w:sz w:val="20"/>
          <w:szCs w:val="20"/>
          <w:lang w:val="fr-CH"/>
        </w:rPr>
      </w:pPr>
    </w:p>
    <w:p w14:paraId="7D488B36" w14:textId="77777777" w:rsidR="00B53B3D" w:rsidRPr="005E5973" w:rsidRDefault="00B53B3D" w:rsidP="00B53B3D">
      <w:pPr>
        <w:pStyle w:val="Listenabsatz"/>
        <w:rPr>
          <w:rFonts w:ascii="Arial" w:hAnsi="Arial" w:cs="Arial"/>
          <w:color w:val="000000" w:themeColor="text1"/>
          <w:lang w:val="fr-CH"/>
        </w:rPr>
      </w:pPr>
    </w:p>
    <w:p w14:paraId="6311819D" w14:textId="77777777" w:rsidR="00B53B3D" w:rsidRPr="005E5973" w:rsidRDefault="00B53B3D" w:rsidP="00B53B3D">
      <w:pPr>
        <w:pStyle w:val="Listenabsatz"/>
        <w:rPr>
          <w:rFonts w:ascii="Arial" w:hAnsi="Arial" w:cs="Arial"/>
          <w:color w:val="FF0000"/>
          <w:lang w:val="fr-CH"/>
        </w:rPr>
      </w:pPr>
    </w:p>
    <w:p w14:paraId="31A64C90" w14:textId="77777777" w:rsidR="00B53B3D" w:rsidRPr="005E5973" w:rsidRDefault="00B53B3D" w:rsidP="00B53B3D">
      <w:pPr>
        <w:rPr>
          <w:rFonts w:ascii="Arial" w:hAnsi="Arial" w:cs="Arial"/>
          <w:color w:val="FF0000"/>
          <w:lang w:val="fr-CH"/>
        </w:rPr>
      </w:pPr>
    </w:p>
    <w:p w14:paraId="53D3F2B3" w14:textId="77777777" w:rsidR="00857930" w:rsidRPr="005E5973" w:rsidRDefault="00857930" w:rsidP="00B53B3D">
      <w:pPr>
        <w:rPr>
          <w:rFonts w:ascii="Arial" w:hAnsi="Arial" w:cs="Arial"/>
          <w:color w:val="FF0000"/>
          <w:lang w:val="fr-CH"/>
        </w:rPr>
      </w:pPr>
    </w:p>
    <w:p w14:paraId="148147FD" w14:textId="77777777" w:rsidR="00A91B19" w:rsidRPr="005E5973" w:rsidRDefault="00A91B19" w:rsidP="00B53B3D">
      <w:pPr>
        <w:rPr>
          <w:rFonts w:ascii="Arial" w:hAnsi="Arial" w:cs="Arial"/>
          <w:color w:val="FF0000"/>
          <w:lang w:val="fr-CH"/>
        </w:rPr>
      </w:pPr>
    </w:p>
    <w:p w14:paraId="3EB382FC" w14:textId="77777777" w:rsidR="00A14315" w:rsidRPr="005E5973" w:rsidRDefault="00A14315" w:rsidP="00B53B3D">
      <w:pPr>
        <w:rPr>
          <w:rFonts w:ascii="Arial" w:hAnsi="Arial" w:cs="Arial"/>
          <w:color w:val="FF0000"/>
          <w:lang w:val="fr-CH"/>
        </w:rPr>
      </w:pPr>
    </w:p>
    <w:p w14:paraId="07B4E1BB" w14:textId="77777777" w:rsidR="00A14315" w:rsidRPr="005E5973" w:rsidRDefault="00A14315" w:rsidP="00B53B3D">
      <w:pPr>
        <w:rPr>
          <w:rFonts w:ascii="Arial" w:hAnsi="Arial" w:cs="Arial"/>
          <w:color w:val="FF0000"/>
          <w:lang w:val="fr-CH"/>
        </w:rPr>
      </w:pPr>
    </w:p>
    <w:p w14:paraId="414470CA" w14:textId="77777777" w:rsidR="00A14315" w:rsidRPr="005E5973" w:rsidRDefault="00A14315" w:rsidP="00B53B3D">
      <w:pPr>
        <w:rPr>
          <w:rFonts w:ascii="Arial" w:hAnsi="Arial" w:cs="Arial"/>
          <w:color w:val="FF0000"/>
          <w:lang w:val="fr-CH"/>
        </w:rPr>
      </w:pPr>
    </w:p>
    <w:p w14:paraId="79A7D583" w14:textId="77777777" w:rsidR="00A14315" w:rsidRPr="005E5973" w:rsidRDefault="00A14315" w:rsidP="00B53B3D">
      <w:pPr>
        <w:rPr>
          <w:rFonts w:ascii="Arial" w:hAnsi="Arial" w:cs="Arial"/>
          <w:color w:val="FF0000"/>
          <w:lang w:val="fr-CH"/>
        </w:rPr>
      </w:pPr>
    </w:p>
    <w:p w14:paraId="36B70484" w14:textId="77777777" w:rsidR="00857930" w:rsidRPr="005E5973" w:rsidRDefault="00857930" w:rsidP="00B53B3D">
      <w:pPr>
        <w:rPr>
          <w:rFonts w:ascii="Arial" w:hAnsi="Arial" w:cs="Arial"/>
          <w:color w:val="FF0000"/>
          <w:lang w:val="fr-CH"/>
        </w:rPr>
      </w:pPr>
    </w:p>
    <w:p w14:paraId="5D63E07C" w14:textId="44BE6944" w:rsidR="00B53B3D" w:rsidRPr="005E5973" w:rsidRDefault="00B4665B" w:rsidP="00B53B3D">
      <w:pPr>
        <w:rPr>
          <w:rFonts w:ascii="Arial" w:hAnsi="Arial" w:cs="Arial"/>
          <w:color w:val="FF0000"/>
          <w:lang w:val="fr-CH"/>
        </w:rPr>
      </w:pPr>
      <w:r w:rsidRPr="005E5973">
        <w:rPr>
          <w:rFonts w:ascii="Arial" w:hAnsi="Arial" w:cs="Arial"/>
          <w:color w:val="FF0000"/>
          <w:lang w:val="fr-CH"/>
        </w:rPr>
        <w:br w:type="page"/>
      </w:r>
    </w:p>
    <w:p w14:paraId="5BA7EA02" w14:textId="4A4E6063" w:rsidR="00140095" w:rsidRPr="005E5973" w:rsidRDefault="002079BB" w:rsidP="00140095">
      <w:pPr>
        <w:rPr>
          <w:rFonts w:ascii="Arial" w:hAnsi="Arial" w:cs="Arial"/>
          <w:b/>
          <w:sz w:val="20"/>
          <w:szCs w:val="20"/>
          <w:lang w:val="fr-CH"/>
        </w:rPr>
      </w:pPr>
      <w:r w:rsidRPr="005E5973">
        <w:rPr>
          <w:rFonts w:ascii="Arial" w:hAnsi="Arial" w:cs="Arial"/>
          <w:b/>
          <w:sz w:val="20"/>
          <w:szCs w:val="20"/>
          <w:lang w:val="fr-CH"/>
        </w:rPr>
        <w:lastRenderedPageBreak/>
        <w:t>Annexe 3</w:t>
      </w:r>
      <w:r w:rsidR="00140095" w:rsidRPr="005E5973">
        <w:rPr>
          <w:rFonts w:ascii="Arial" w:hAnsi="Arial" w:cs="Arial"/>
          <w:b/>
          <w:sz w:val="20"/>
          <w:szCs w:val="20"/>
          <w:lang w:val="fr-CH"/>
        </w:rPr>
        <w:t xml:space="preserve"> </w:t>
      </w:r>
      <w:r w:rsidR="00140095" w:rsidRPr="005E5973">
        <w:rPr>
          <w:rFonts w:ascii="Arial" w:hAnsi="Arial" w:cs="Arial"/>
          <w:b/>
          <w:sz w:val="20"/>
          <w:szCs w:val="20"/>
          <w:lang w:val="fr-CH"/>
        </w:rPr>
        <w:tab/>
      </w:r>
      <w:r w:rsidRPr="005E5973">
        <w:rPr>
          <w:rFonts w:ascii="Arial" w:hAnsi="Arial" w:cs="Arial"/>
          <w:sz w:val="20"/>
          <w:szCs w:val="20"/>
          <w:lang w:val="fr-CH"/>
        </w:rPr>
        <w:t>au règlement en matière de placements</w:t>
      </w:r>
      <w:r w:rsidR="0098799A" w:rsidRPr="005E5973">
        <w:rPr>
          <w:rFonts w:ascii="Arial" w:hAnsi="Arial" w:cs="Arial"/>
          <w:sz w:val="20"/>
          <w:szCs w:val="20"/>
          <w:lang w:val="fr-CH"/>
        </w:rPr>
        <w:t xml:space="preserve"> </w:t>
      </w:r>
    </w:p>
    <w:p w14:paraId="53C93D52" w14:textId="77777777" w:rsidR="00A91B19" w:rsidRPr="005E5973" w:rsidRDefault="00A91B19" w:rsidP="00A91B19">
      <w:pPr>
        <w:rPr>
          <w:rFonts w:ascii="Arial" w:hAnsi="Arial" w:cs="Arial"/>
          <w:sz w:val="20"/>
          <w:szCs w:val="20"/>
          <w:lang w:val="fr-CH"/>
        </w:rPr>
      </w:pPr>
    </w:p>
    <w:p w14:paraId="6A425086" w14:textId="77777777" w:rsidR="00A91B19" w:rsidRPr="005E5973" w:rsidRDefault="00A91B19" w:rsidP="00A91B19">
      <w:pPr>
        <w:rPr>
          <w:rFonts w:ascii="Arial" w:hAnsi="Arial" w:cs="Arial"/>
          <w:sz w:val="20"/>
          <w:szCs w:val="20"/>
          <w:lang w:val="fr-CH"/>
        </w:rPr>
      </w:pPr>
    </w:p>
    <w:p w14:paraId="0D180770" w14:textId="45C94F1D" w:rsidR="00140095" w:rsidRPr="005E5973" w:rsidRDefault="002079BB" w:rsidP="00567EB3">
      <w:pPr>
        <w:outlineLvl w:val="0"/>
        <w:rPr>
          <w:rFonts w:ascii="Arial" w:hAnsi="Arial" w:cs="Arial"/>
          <w:b/>
          <w:i/>
          <w:sz w:val="20"/>
          <w:szCs w:val="20"/>
          <w:lang w:val="fr-CH"/>
        </w:rPr>
      </w:pPr>
      <w:r w:rsidRPr="005E5973">
        <w:rPr>
          <w:rFonts w:ascii="Arial" w:hAnsi="Arial" w:cs="Arial"/>
          <w:b/>
          <w:sz w:val="20"/>
          <w:szCs w:val="20"/>
          <w:u w:val="single"/>
          <w:lang w:val="fr-CH"/>
        </w:rPr>
        <w:t>Critères d’exclusion</w:t>
      </w:r>
    </w:p>
    <w:p w14:paraId="6DE21699" w14:textId="77777777" w:rsidR="00140095" w:rsidRPr="005E5973" w:rsidRDefault="00140095" w:rsidP="00140095">
      <w:pPr>
        <w:rPr>
          <w:rFonts w:ascii="Arial" w:hAnsi="Arial" w:cs="Arial"/>
          <w:sz w:val="20"/>
          <w:szCs w:val="20"/>
          <w:lang w:val="fr-CH"/>
        </w:rPr>
      </w:pPr>
    </w:p>
    <w:p w14:paraId="1589CD4B" w14:textId="77777777" w:rsidR="00A91B19" w:rsidRPr="005E5973" w:rsidRDefault="00A91B19" w:rsidP="00140095">
      <w:pPr>
        <w:rPr>
          <w:rFonts w:ascii="Arial" w:hAnsi="Arial" w:cs="Arial"/>
          <w:sz w:val="20"/>
          <w:szCs w:val="20"/>
          <w:lang w:val="fr-CH"/>
        </w:rPr>
      </w:pPr>
    </w:p>
    <w:p w14:paraId="62956453" w14:textId="59FC01B5" w:rsidR="00140095" w:rsidRPr="005E5973" w:rsidRDefault="002079BB" w:rsidP="00140095">
      <w:pPr>
        <w:rPr>
          <w:rFonts w:ascii="Arial" w:hAnsi="Arial" w:cs="Arial"/>
          <w:color w:val="FF0000"/>
          <w:sz w:val="20"/>
          <w:szCs w:val="20"/>
          <w:lang w:val="fr-CH"/>
        </w:rPr>
      </w:pPr>
      <w:r w:rsidRPr="005E5973">
        <w:rPr>
          <w:rFonts w:ascii="Arial" w:hAnsi="Arial" w:cs="Arial"/>
          <w:sz w:val="20"/>
          <w:szCs w:val="20"/>
          <w:lang w:val="fr-CH"/>
        </w:rPr>
        <w:t>Sont exclus de l’univers de placement:</w:t>
      </w:r>
    </w:p>
    <w:p w14:paraId="1836B931" w14:textId="77777777" w:rsidR="00140095" w:rsidRPr="005E5973" w:rsidRDefault="00140095" w:rsidP="00140095">
      <w:pPr>
        <w:rPr>
          <w:rFonts w:ascii="Arial" w:hAnsi="Arial" w:cs="Arial"/>
          <w:color w:val="FF0000"/>
          <w:sz w:val="20"/>
          <w:szCs w:val="20"/>
          <w:lang w:val="fr-CH"/>
        </w:rPr>
      </w:pPr>
    </w:p>
    <w:p w14:paraId="066B5C01" w14:textId="4D104B73" w:rsidR="00140095" w:rsidRPr="005E5973" w:rsidRDefault="002079BB" w:rsidP="00140095">
      <w:pPr>
        <w:pStyle w:val="Listenabsatz"/>
        <w:numPr>
          <w:ilvl w:val="0"/>
          <w:numId w:val="6"/>
        </w:numPr>
        <w:rPr>
          <w:rFonts w:ascii="Arial" w:hAnsi="Arial" w:cs="Arial"/>
          <w:sz w:val="20"/>
          <w:szCs w:val="20"/>
          <w:lang w:val="fr-CH"/>
        </w:rPr>
      </w:pPr>
      <w:r w:rsidRPr="005E5973">
        <w:rPr>
          <w:rFonts w:ascii="Arial" w:hAnsi="Arial" w:cs="Arial"/>
          <w:sz w:val="20"/>
          <w:szCs w:val="20"/>
          <w:lang w:val="fr-CH"/>
        </w:rPr>
        <w:t>Les entreprises travaillant de manière active avec des gouvernements qui oppriment les êtres humains sur la base de leur religion, de leur race, de leur sexe ou de leur origine</w:t>
      </w:r>
    </w:p>
    <w:p w14:paraId="5FB5459D" w14:textId="77777777" w:rsidR="00140095" w:rsidRPr="005E5973" w:rsidRDefault="00140095" w:rsidP="00140095">
      <w:pPr>
        <w:ind w:left="360"/>
        <w:rPr>
          <w:rFonts w:ascii="Arial" w:hAnsi="Arial" w:cs="Arial"/>
          <w:sz w:val="20"/>
          <w:szCs w:val="20"/>
          <w:lang w:val="fr-CH"/>
        </w:rPr>
      </w:pPr>
    </w:p>
    <w:p w14:paraId="483C7B2A" w14:textId="186CDBF9" w:rsidR="00140095" w:rsidRPr="005E5973" w:rsidRDefault="002079BB" w:rsidP="00140095">
      <w:pPr>
        <w:pStyle w:val="Listenabsatz"/>
        <w:numPr>
          <w:ilvl w:val="0"/>
          <w:numId w:val="6"/>
        </w:numPr>
        <w:rPr>
          <w:rFonts w:ascii="Arial" w:hAnsi="Arial" w:cs="Arial"/>
          <w:sz w:val="20"/>
          <w:szCs w:val="20"/>
          <w:lang w:val="fr-CH"/>
        </w:rPr>
      </w:pPr>
      <w:r w:rsidRPr="005E5973">
        <w:rPr>
          <w:rFonts w:ascii="Arial" w:hAnsi="Arial" w:cs="Arial"/>
          <w:sz w:val="20"/>
          <w:szCs w:val="20"/>
          <w:lang w:val="fr-CH"/>
        </w:rPr>
        <w:t>Les pays / gouvernements enfreignant les droits de l’homme de façon manifeste et grossière ou n’observant pas les conventions internationales (peine de mort, bombes à sous-munitions, etc.)</w:t>
      </w:r>
      <w:r w:rsidR="00140095" w:rsidRPr="005E5973">
        <w:rPr>
          <w:rFonts w:ascii="Arial" w:hAnsi="Arial" w:cs="Arial"/>
          <w:sz w:val="20"/>
          <w:szCs w:val="20"/>
          <w:lang w:val="fr-CH"/>
        </w:rPr>
        <w:t xml:space="preserve"> </w:t>
      </w:r>
    </w:p>
    <w:p w14:paraId="534DE002" w14:textId="77777777" w:rsidR="00140095" w:rsidRPr="005E5973" w:rsidRDefault="00140095" w:rsidP="00140095">
      <w:pPr>
        <w:pStyle w:val="Listenabsatz"/>
        <w:rPr>
          <w:rFonts w:ascii="Arial" w:hAnsi="Arial" w:cs="Arial"/>
          <w:sz w:val="20"/>
          <w:szCs w:val="20"/>
          <w:lang w:val="fr-CH"/>
        </w:rPr>
      </w:pPr>
    </w:p>
    <w:p w14:paraId="6D97A030" w14:textId="09A8EDBB" w:rsidR="00140095" w:rsidRPr="005E5973" w:rsidRDefault="002079BB" w:rsidP="00140095">
      <w:pPr>
        <w:pStyle w:val="Listenabsatz"/>
        <w:numPr>
          <w:ilvl w:val="0"/>
          <w:numId w:val="6"/>
        </w:numPr>
        <w:rPr>
          <w:rFonts w:ascii="Arial" w:hAnsi="Arial" w:cs="Arial"/>
          <w:sz w:val="20"/>
          <w:szCs w:val="20"/>
          <w:lang w:val="fr-CH"/>
        </w:rPr>
      </w:pPr>
      <w:r w:rsidRPr="005E5973">
        <w:rPr>
          <w:rFonts w:ascii="Arial" w:hAnsi="Arial" w:cs="Arial"/>
          <w:sz w:val="20"/>
          <w:szCs w:val="20"/>
          <w:lang w:val="fr-CH"/>
        </w:rPr>
        <w:t>Les entreprises faisant manifestement obstacle aux initiatives de développement d’un commerce mondial équitable ou aggravant l’endettement, la position défavorisée et la dépendance des «pays en voie de développement»</w:t>
      </w:r>
    </w:p>
    <w:p w14:paraId="6CE94E1E" w14:textId="77777777" w:rsidR="00140095" w:rsidRPr="005E5973" w:rsidRDefault="00140095" w:rsidP="00140095">
      <w:pPr>
        <w:pStyle w:val="Listenabsatz"/>
        <w:rPr>
          <w:rFonts w:ascii="Arial" w:hAnsi="Arial" w:cs="Arial"/>
          <w:sz w:val="20"/>
          <w:szCs w:val="20"/>
          <w:lang w:val="fr-CH"/>
        </w:rPr>
      </w:pPr>
    </w:p>
    <w:p w14:paraId="4D66B854" w14:textId="2DF7A236" w:rsidR="00140095" w:rsidRPr="005E5973" w:rsidRDefault="002079BB" w:rsidP="00140095">
      <w:pPr>
        <w:pStyle w:val="Listenabsatz"/>
        <w:numPr>
          <w:ilvl w:val="0"/>
          <w:numId w:val="6"/>
        </w:numPr>
        <w:rPr>
          <w:rFonts w:ascii="Arial" w:hAnsi="Arial" w:cs="Arial"/>
          <w:sz w:val="20"/>
          <w:szCs w:val="20"/>
          <w:lang w:val="fr-CH"/>
        </w:rPr>
      </w:pPr>
      <w:r w:rsidRPr="005E5973">
        <w:rPr>
          <w:rFonts w:ascii="Arial" w:hAnsi="Arial" w:cs="Arial"/>
          <w:sz w:val="20"/>
          <w:szCs w:val="20"/>
          <w:lang w:val="fr-CH"/>
        </w:rPr>
        <w:t>Les entreprises faisant produire dans des conditions de travail inhumaines (et travail des enfants)</w:t>
      </w:r>
    </w:p>
    <w:p w14:paraId="78BA49DA" w14:textId="77777777" w:rsidR="00140095" w:rsidRPr="005E5973" w:rsidRDefault="00140095" w:rsidP="00140095">
      <w:pPr>
        <w:pStyle w:val="Listenabsatz"/>
        <w:rPr>
          <w:rFonts w:ascii="Arial" w:hAnsi="Arial" w:cs="Arial"/>
          <w:sz w:val="20"/>
          <w:szCs w:val="20"/>
          <w:lang w:val="fr-CH"/>
        </w:rPr>
      </w:pPr>
    </w:p>
    <w:p w14:paraId="1DB01A25" w14:textId="672D9324" w:rsidR="00140095" w:rsidRPr="005E5973" w:rsidRDefault="002079BB" w:rsidP="00140095">
      <w:pPr>
        <w:pStyle w:val="Listenabsatz"/>
        <w:numPr>
          <w:ilvl w:val="0"/>
          <w:numId w:val="6"/>
        </w:numPr>
        <w:rPr>
          <w:rFonts w:ascii="Arial" w:hAnsi="Arial" w:cs="Arial"/>
          <w:sz w:val="20"/>
          <w:szCs w:val="20"/>
          <w:lang w:val="fr-CH"/>
        </w:rPr>
      </w:pPr>
      <w:r w:rsidRPr="005E5973">
        <w:rPr>
          <w:rFonts w:ascii="Arial" w:hAnsi="Arial" w:cs="Arial"/>
          <w:sz w:val="20"/>
          <w:szCs w:val="20"/>
          <w:lang w:val="fr-CH"/>
        </w:rPr>
        <w:t>Les entreprises développant, produisant et distribuant des armes ou ayant une collaboration active avec des organisations militaires</w:t>
      </w:r>
    </w:p>
    <w:p w14:paraId="07E7D14A" w14:textId="77777777" w:rsidR="00140095" w:rsidRPr="005E5973" w:rsidRDefault="00140095" w:rsidP="00140095">
      <w:pPr>
        <w:pStyle w:val="Listenabsatz"/>
        <w:rPr>
          <w:rFonts w:ascii="Arial" w:hAnsi="Arial" w:cs="Arial"/>
          <w:sz w:val="20"/>
          <w:szCs w:val="20"/>
          <w:lang w:val="fr-CH"/>
        </w:rPr>
      </w:pPr>
    </w:p>
    <w:p w14:paraId="4583A527" w14:textId="459C7C61" w:rsidR="00140095" w:rsidRPr="005E5973" w:rsidRDefault="002079BB" w:rsidP="002079BB">
      <w:pPr>
        <w:pStyle w:val="Listenabsatz"/>
        <w:numPr>
          <w:ilvl w:val="0"/>
          <w:numId w:val="6"/>
        </w:numPr>
        <w:rPr>
          <w:rFonts w:ascii="Arial" w:hAnsi="Arial" w:cs="Arial"/>
          <w:sz w:val="20"/>
          <w:szCs w:val="20"/>
          <w:lang w:val="fr-CH"/>
        </w:rPr>
      </w:pPr>
      <w:r w:rsidRPr="005E5973">
        <w:rPr>
          <w:rFonts w:ascii="Arial" w:hAnsi="Arial" w:cs="Arial"/>
          <w:sz w:val="20"/>
          <w:szCs w:val="20"/>
          <w:lang w:val="fr-CH"/>
        </w:rPr>
        <w:t>Les centrales nucléaires et entreprises évoluant dans le domaine de l’énergie nucléaire</w:t>
      </w:r>
    </w:p>
    <w:p w14:paraId="35CBE1E4" w14:textId="77777777" w:rsidR="00D16788" w:rsidRPr="005E5973" w:rsidRDefault="00D16788" w:rsidP="00552202">
      <w:pPr>
        <w:rPr>
          <w:rFonts w:ascii="Arial" w:hAnsi="Arial" w:cs="Arial"/>
          <w:sz w:val="20"/>
          <w:szCs w:val="20"/>
          <w:lang w:val="fr-CH"/>
        </w:rPr>
      </w:pPr>
    </w:p>
    <w:p w14:paraId="16F5BAF6" w14:textId="31781D48" w:rsidR="00603A83" w:rsidRPr="005E5973" w:rsidRDefault="002079BB" w:rsidP="00552202">
      <w:pPr>
        <w:pStyle w:val="Listenabsatz"/>
        <w:numPr>
          <w:ilvl w:val="0"/>
          <w:numId w:val="6"/>
        </w:numPr>
        <w:rPr>
          <w:rFonts w:ascii="Arial" w:hAnsi="Arial" w:cs="Arial"/>
          <w:sz w:val="20"/>
          <w:szCs w:val="20"/>
          <w:lang w:val="fr-CH"/>
        </w:rPr>
      </w:pPr>
      <w:r w:rsidRPr="005E5973">
        <w:rPr>
          <w:rFonts w:ascii="Arial" w:hAnsi="Arial" w:cs="Arial"/>
          <w:sz w:val="20"/>
          <w:szCs w:val="20"/>
          <w:lang w:val="fr-CH"/>
        </w:rPr>
        <w:t>Pas d’investissements dans les domaines suivants:</w:t>
      </w:r>
      <w:r w:rsidR="00140095" w:rsidRPr="005E5973">
        <w:rPr>
          <w:rFonts w:ascii="Arial" w:hAnsi="Arial" w:cs="Arial"/>
          <w:sz w:val="20"/>
          <w:szCs w:val="20"/>
          <w:lang w:val="fr-CH"/>
        </w:rPr>
        <w:t xml:space="preserve"> </w:t>
      </w:r>
      <w:r w:rsidRPr="005E5973">
        <w:rPr>
          <w:rFonts w:ascii="Arial" w:hAnsi="Arial" w:cs="Arial"/>
          <w:sz w:val="20"/>
          <w:szCs w:val="20"/>
          <w:lang w:val="fr-CH"/>
        </w:rPr>
        <w:t>matières premières, or, pillage écologique comme accaparement des terres, fracking (fracturation hydraulique)</w:t>
      </w:r>
      <w:r w:rsidR="00140095" w:rsidRPr="005E5973">
        <w:rPr>
          <w:rFonts w:ascii="Arial" w:hAnsi="Arial" w:cs="Arial"/>
          <w:sz w:val="20"/>
          <w:szCs w:val="20"/>
          <w:lang w:val="fr-CH"/>
        </w:rPr>
        <w:t xml:space="preserve"> </w:t>
      </w:r>
    </w:p>
    <w:p w14:paraId="427E048A" w14:textId="77777777" w:rsidR="00140095" w:rsidRPr="005E5973" w:rsidRDefault="00140095" w:rsidP="00D16788">
      <w:pPr>
        <w:rPr>
          <w:rFonts w:ascii="Arial" w:hAnsi="Arial" w:cs="Arial"/>
          <w:sz w:val="20"/>
          <w:szCs w:val="20"/>
          <w:lang w:val="fr-CH"/>
        </w:rPr>
      </w:pPr>
    </w:p>
    <w:p w14:paraId="7780F8BF" w14:textId="032BC4AF" w:rsidR="00140095" w:rsidRPr="005E5973" w:rsidRDefault="002079BB" w:rsidP="00140095">
      <w:pPr>
        <w:pStyle w:val="Listenabsatz"/>
        <w:numPr>
          <w:ilvl w:val="0"/>
          <w:numId w:val="6"/>
        </w:numPr>
        <w:rPr>
          <w:rFonts w:ascii="Arial" w:hAnsi="Arial" w:cs="Arial"/>
          <w:sz w:val="20"/>
          <w:szCs w:val="20"/>
          <w:lang w:val="fr-CH"/>
        </w:rPr>
      </w:pPr>
      <w:r w:rsidRPr="005E5973">
        <w:rPr>
          <w:rFonts w:ascii="Arial" w:hAnsi="Arial" w:cs="Arial"/>
          <w:sz w:val="20"/>
          <w:szCs w:val="20"/>
          <w:lang w:val="fr-CH"/>
        </w:rPr>
        <w:t>Les entreprises évoluant dans les domaines des jeux de hasard, de la pornographie, de l’alcool et du tabac</w:t>
      </w:r>
    </w:p>
    <w:p w14:paraId="3A146F28" w14:textId="77777777" w:rsidR="00140095" w:rsidRPr="005E5973" w:rsidRDefault="00140095" w:rsidP="00140095">
      <w:pPr>
        <w:rPr>
          <w:rFonts w:ascii="Arial" w:hAnsi="Arial" w:cs="Arial"/>
          <w:sz w:val="20"/>
          <w:szCs w:val="20"/>
          <w:lang w:val="fr-CH"/>
        </w:rPr>
      </w:pPr>
    </w:p>
    <w:p w14:paraId="3CF9169E" w14:textId="6206E94C" w:rsidR="00140095" w:rsidRPr="005E5973" w:rsidRDefault="002079BB" w:rsidP="00140095">
      <w:pPr>
        <w:pStyle w:val="Listenabsatz"/>
        <w:numPr>
          <w:ilvl w:val="0"/>
          <w:numId w:val="6"/>
        </w:numPr>
        <w:rPr>
          <w:rFonts w:ascii="Arial" w:hAnsi="Arial" w:cs="Arial"/>
          <w:color w:val="000000" w:themeColor="text1"/>
          <w:sz w:val="20"/>
          <w:szCs w:val="20"/>
          <w:lang w:val="fr-CH"/>
        </w:rPr>
      </w:pPr>
      <w:r w:rsidRPr="005E5973">
        <w:rPr>
          <w:rFonts w:ascii="Arial" w:hAnsi="Arial" w:cs="Arial"/>
          <w:color w:val="000000" w:themeColor="text1"/>
          <w:sz w:val="20"/>
          <w:szCs w:val="20"/>
          <w:lang w:val="fr-CH"/>
        </w:rPr>
        <w:t>Afin de pouvoir défendre les intérêts de l’organisation lors d’assemblées des actionnaires et pour obtenir des informations pertinentes pour l’organisation, il est possible, dans des cas motivés, de s’écarter des critères d’exclusion.</w:t>
      </w:r>
      <w:r w:rsidR="000261A2" w:rsidRPr="005E5973">
        <w:rPr>
          <w:rFonts w:ascii="Arial" w:hAnsi="Arial" w:cs="Arial"/>
          <w:color w:val="000000" w:themeColor="text1"/>
          <w:sz w:val="20"/>
          <w:szCs w:val="20"/>
          <w:lang w:val="fr-CH"/>
        </w:rPr>
        <w:t xml:space="preserve"> </w:t>
      </w:r>
      <w:r w:rsidRPr="005E5973">
        <w:rPr>
          <w:rFonts w:ascii="Arial" w:hAnsi="Arial" w:cs="Arial"/>
          <w:color w:val="000000" w:themeColor="text1"/>
          <w:sz w:val="20"/>
          <w:szCs w:val="20"/>
          <w:lang w:val="fr-CH"/>
        </w:rPr>
        <w:t>Dans ces cas, il est possible de détenir un petit nombre de titres.</w:t>
      </w:r>
      <w:r w:rsidR="00140095" w:rsidRPr="005E5973">
        <w:rPr>
          <w:rFonts w:ascii="Arial" w:hAnsi="Arial" w:cs="Arial"/>
          <w:color w:val="000000" w:themeColor="text1"/>
          <w:sz w:val="20"/>
          <w:szCs w:val="20"/>
          <w:lang w:val="fr-CH"/>
        </w:rPr>
        <w:t xml:space="preserve"> </w:t>
      </w:r>
      <w:r w:rsidRPr="005E5973">
        <w:rPr>
          <w:rFonts w:ascii="Arial" w:hAnsi="Arial" w:cs="Arial"/>
          <w:color w:val="000000" w:themeColor="text1"/>
          <w:sz w:val="20"/>
          <w:szCs w:val="20"/>
          <w:lang w:val="fr-CH"/>
        </w:rPr>
        <w:t>De tels placements doivent être limités à un minimum.</w:t>
      </w:r>
    </w:p>
    <w:p w14:paraId="3AE57102" w14:textId="77777777" w:rsidR="00140095" w:rsidRPr="005E5973" w:rsidRDefault="00140095" w:rsidP="00140095">
      <w:pPr>
        <w:rPr>
          <w:rFonts w:ascii="Arial" w:hAnsi="Arial" w:cs="Arial"/>
          <w:color w:val="000000" w:themeColor="text1"/>
          <w:sz w:val="20"/>
          <w:szCs w:val="20"/>
          <w:lang w:val="fr-CH"/>
        </w:rPr>
      </w:pPr>
    </w:p>
    <w:p w14:paraId="0F2D29C1" w14:textId="77777777" w:rsidR="00D97B11" w:rsidRPr="005E5973" w:rsidRDefault="00D97B11" w:rsidP="00D97B11">
      <w:pPr>
        <w:pStyle w:val="Listenabsatz"/>
        <w:rPr>
          <w:rFonts w:ascii="Arial" w:hAnsi="Arial" w:cs="Arial"/>
          <w:b/>
          <w:color w:val="000000" w:themeColor="text1"/>
          <w:sz w:val="20"/>
          <w:szCs w:val="20"/>
          <w:lang w:val="fr-CH"/>
        </w:rPr>
      </w:pPr>
    </w:p>
    <w:p w14:paraId="52A7844A" w14:textId="77777777" w:rsidR="00D97B11" w:rsidRPr="005E5973" w:rsidRDefault="00D97B11" w:rsidP="00D97B11">
      <w:pPr>
        <w:pStyle w:val="Listenabsatz"/>
        <w:rPr>
          <w:rFonts w:ascii="Arial" w:hAnsi="Arial" w:cs="Arial"/>
          <w:b/>
          <w:color w:val="000000" w:themeColor="text1"/>
          <w:sz w:val="20"/>
          <w:szCs w:val="20"/>
          <w:lang w:val="fr-CH"/>
        </w:rPr>
      </w:pPr>
    </w:p>
    <w:p w14:paraId="7F8AE70B" w14:textId="3FA33475" w:rsidR="00B4665B" w:rsidRPr="005E5973" w:rsidRDefault="00B4665B" w:rsidP="00D97B11">
      <w:pPr>
        <w:rPr>
          <w:rFonts w:ascii="Arial" w:hAnsi="Arial" w:cs="Arial"/>
          <w:i/>
          <w:lang w:val="fr-CH"/>
        </w:rPr>
      </w:pPr>
      <w:r w:rsidRPr="005E5973">
        <w:rPr>
          <w:rFonts w:ascii="Arial" w:hAnsi="Arial" w:cs="Arial"/>
          <w:i/>
          <w:lang w:val="fr-CH"/>
        </w:rPr>
        <w:br w:type="page"/>
      </w:r>
    </w:p>
    <w:p w14:paraId="2ED7461B" w14:textId="35E9C3EF" w:rsidR="00A91B19" w:rsidRPr="005E5973" w:rsidRDefault="002079BB" w:rsidP="004A12DA">
      <w:pPr>
        <w:rPr>
          <w:rFonts w:ascii="Arial" w:hAnsi="Arial" w:cs="Arial"/>
          <w:sz w:val="20"/>
          <w:szCs w:val="20"/>
          <w:lang w:val="fr-CH"/>
        </w:rPr>
      </w:pPr>
      <w:r w:rsidRPr="005E5973">
        <w:rPr>
          <w:rFonts w:ascii="Arial" w:hAnsi="Arial" w:cs="Arial"/>
          <w:b/>
          <w:sz w:val="20"/>
          <w:szCs w:val="20"/>
          <w:lang w:val="fr-CH"/>
        </w:rPr>
        <w:lastRenderedPageBreak/>
        <w:t>Annexe 4</w:t>
      </w:r>
      <w:r w:rsidR="009B5224" w:rsidRPr="005E5973">
        <w:rPr>
          <w:rFonts w:ascii="Arial" w:hAnsi="Arial" w:cs="Arial"/>
          <w:b/>
          <w:sz w:val="20"/>
          <w:szCs w:val="20"/>
          <w:lang w:val="fr-CH"/>
        </w:rPr>
        <w:tab/>
      </w:r>
      <w:r w:rsidRPr="005E5973">
        <w:rPr>
          <w:rFonts w:ascii="Arial" w:hAnsi="Arial" w:cs="Arial"/>
          <w:sz w:val="20"/>
          <w:szCs w:val="20"/>
          <w:lang w:val="fr-CH"/>
        </w:rPr>
        <w:t>au règlement en matière de placements</w:t>
      </w:r>
      <w:r w:rsidR="0098799A" w:rsidRPr="005E5973">
        <w:rPr>
          <w:rFonts w:ascii="Arial" w:hAnsi="Arial" w:cs="Arial"/>
          <w:sz w:val="20"/>
          <w:szCs w:val="20"/>
          <w:lang w:val="fr-CH"/>
        </w:rPr>
        <w:t xml:space="preserve"> </w:t>
      </w:r>
    </w:p>
    <w:p w14:paraId="3667D536" w14:textId="77777777" w:rsidR="00D16788" w:rsidRPr="005E5973" w:rsidRDefault="00D16788" w:rsidP="004A12DA">
      <w:pPr>
        <w:rPr>
          <w:rFonts w:ascii="Arial" w:hAnsi="Arial" w:cs="Arial"/>
          <w:sz w:val="20"/>
          <w:lang w:val="fr-CH"/>
        </w:rPr>
      </w:pPr>
    </w:p>
    <w:p w14:paraId="13A94F74" w14:textId="77777777" w:rsidR="00A91B19" w:rsidRPr="005E5973" w:rsidRDefault="00A91B19" w:rsidP="004A12DA">
      <w:pPr>
        <w:rPr>
          <w:rFonts w:ascii="Arial" w:hAnsi="Arial" w:cs="Arial"/>
          <w:sz w:val="20"/>
          <w:lang w:val="fr-CH"/>
        </w:rPr>
      </w:pPr>
    </w:p>
    <w:p w14:paraId="6159E038" w14:textId="7782FF15" w:rsidR="009B5224" w:rsidRPr="005E5973" w:rsidRDefault="002079BB" w:rsidP="00567EB3">
      <w:pPr>
        <w:outlineLvl w:val="0"/>
        <w:rPr>
          <w:rFonts w:ascii="Arial" w:hAnsi="Arial" w:cs="Arial"/>
          <w:b/>
          <w:color w:val="000000" w:themeColor="text1"/>
          <w:sz w:val="20"/>
          <w:szCs w:val="20"/>
          <w:u w:val="single"/>
          <w:lang w:val="fr-CH"/>
        </w:rPr>
      </w:pPr>
      <w:r w:rsidRPr="005E5973">
        <w:rPr>
          <w:rFonts w:ascii="Arial" w:hAnsi="Arial" w:cs="Arial"/>
          <w:b/>
          <w:color w:val="000000" w:themeColor="text1"/>
          <w:sz w:val="20"/>
          <w:szCs w:val="20"/>
          <w:u w:val="single"/>
          <w:lang w:val="fr-CH"/>
        </w:rPr>
        <w:t>Réserves de fluctuation de valeur</w:t>
      </w:r>
    </w:p>
    <w:p w14:paraId="4FFB9E55" w14:textId="77777777" w:rsidR="009B5224" w:rsidRPr="005E5973" w:rsidRDefault="009B5224" w:rsidP="004A12DA">
      <w:pPr>
        <w:rPr>
          <w:rFonts w:ascii="Arial" w:hAnsi="Arial" w:cs="Arial"/>
          <w:b/>
          <w:sz w:val="20"/>
          <w:szCs w:val="20"/>
          <w:lang w:val="fr-CH"/>
        </w:rPr>
      </w:pPr>
    </w:p>
    <w:p w14:paraId="02F6027E" w14:textId="77777777" w:rsidR="00A91B19" w:rsidRPr="005E5973" w:rsidRDefault="00A91B19" w:rsidP="004A12DA">
      <w:pPr>
        <w:rPr>
          <w:rFonts w:ascii="Arial" w:hAnsi="Arial" w:cs="Arial"/>
          <w:b/>
          <w:sz w:val="20"/>
          <w:szCs w:val="20"/>
          <w:lang w:val="fr-CH"/>
        </w:rPr>
      </w:pPr>
    </w:p>
    <w:p w14:paraId="32CA468F" w14:textId="02BFEA08" w:rsidR="009B5224" w:rsidRPr="005E5973" w:rsidRDefault="002079BB" w:rsidP="004A12DA">
      <w:pPr>
        <w:rPr>
          <w:rFonts w:ascii="Arial" w:hAnsi="Arial" w:cs="Arial"/>
          <w:sz w:val="20"/>
          <w:szCs w:val="20"/>
          <w:lang w:val="fr-CH"/>
        </w:rPr>
      </w:pPr>
      <w:r w:rsidRPr="005E5973">
        <w:rPr>
          <w:rFonts w:ascii="Arial" w:hAnsi="Arial" w:cs="Arial"/>
          <w:sz w:val="20"/>
          <w:szCs w:val="20"/>
          <w:lang w:val="fr-CH"/>
        </w:rPr>
        <w:t>Des réserves de fluctuation de valeur sont formées afin de pouvoir absorber des fluctuations de cours des placements des actifs.</w:t>
      </w:r>
      <w:r w:rsidR="00EC0E23" w:rsidRPr="005E5973">
        <w:rPr>
          <w:rFonts w:ascii="Arial" w:hAnsi="Arial" w:cs="Arial"/>
          <w:sz w:val="20"/>
          <w:szCs w:val="20"/>
          <w:lang w:val="fr-CH"/>
        </w:rPr>
        <w:t xml:space="preserve"> </w:t>
      </w:r>
      <w:r w:rsidRPr="005E5973">
        <w:rPr>
          <w:rFonts w:ascii="Arial" w:hAnsi="Arial" w:cs="Arial"/>
          <w:sz w:val="20"/>
          <w:szCs w:val="20"/>
          <w:lang w:val="fr-CH"/>
        </w:rPr>
        <w:t xml:space="preserve">L’organe directeur suprême opte pour la procédure simple, la </w:t>
      </w:r>
      <w:r w:rsidRPr="00AC35E0">
        <w:rPr>
          <w:rFonts w:ascii="Arial" w:hAnsi="Arial" w:cs="Arial"/>
          <w:b/>
          <w:bCs/>
          <w:sz w:val="20"/>
          <w:szCs w:val="20"/>
          <w:lang w:val="fr-CH"/>
        </w:rPr>
        <w:t>méthode des praticiens</w:t>
      </w:r>
      <w:r w:rsidRPr="005E5973">
        <w:rPr>
          <w:rFonts w:ascii="Arial" w:hAnsi="Arial" w:cs="Arial"/>
          <w:sz w:val="20"/>
          <w:szCs w:val="20"/>
          <w:lang w:val="fr-CH"/>
        </w:rPr>
        <w:t>; différentes réserves de fluctuation de valeur sont appliquées en pourcentage de la catégorie de placement.</w:t>
      </w:r>
      <w:r w:rsidR="00EC0E23" w:rsidRPr="005E5973">
        <w:rPr>
          <w:rFonts w:ascii="Arial" w:hAnsi="Arial" w:cs="Arial"/>
          <w:sz w:val="20"/>
          <w:szCs w:val="20"/>
          <w:lang w:val="fr-CH"/>
        </w:rPr>
        <w:t xml:space="preserve"> </w:t>
      </w:r>
    </w:p>
    <w:p w14:paraId="1501AAEE" w14:textId="77777777" w:rsidR="00EC0E23" w:rsidRPr="005E5973" w:rsidRDefault="00EC0E23" w:rsidP="004A12DA">
      <w:pPr>
        <w:rPr>
          <w:rFonts w:ascii="Arial" w:hAnsi="Arial" w:cs="Arial"/>
          <w:sz w:val="20"/>
          <w:szCs w:val="20"/>
          <w:lang w:val="fr-CH"/>
        </w:rPr>
      </w:pPr>
    </w:p>
    <w:p w14:paraId="7C0721CE" w14:textId="77777777" w:rsidR="00EC0E23" w:rsidRPr="005E5973" w:rsidRDefault="00EC0E23" w:rsidP="004A12DA">
      <w:pPr>
        <w:rPr>
          <w:rFonts w:ascii="Arial" w:hAnsi="Arial" w:cs="Arial"/>
          <w:sz w:val="20"/>
          <w:szCs w:val="20"/>
          <w:lang w:val="fr-CH"/>
        </w:rPr>
      </w:pPr>
    </w:p>
    <w:tbl>
      <w:tblPr>
        <w:tblW w:w="7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443"/>
        <w:gridCol w:w="1418"/>
        <w:gridCol w:w="1402"/>
      </w:tblGrid>
      <w:tr w:rsidR="00984D3B" w:rsidRPr="005E5973" w14:paraId="25D19F0F" w14:textId="77777777" w:rsidTr="00984D3B">
        <w:tc>
          <w:tcPr>
            <w:tcW w:w="3652" w:type="dxa"/>
            <w:tcBorders>
              <w:bottom w:val="nil"/>
            </w:tcBorders>
            <w:shd w:val="clear" w:color="auto" w:fill="auto"/>
            <w:vAlign w:val="bottom"/>
          </w:tcPr>
          <w:p w14:paraId="38A8E8A1" w14:textId="77777777" w:rsidR="00EC0E23" w:rsidRPr="005E5973" w:rsidRDefault="00EC0E23" w:rsidP="00EC0E23">
            <w:pPr>
              <w:rPr>
                <w:rFonts w:ascii="Arial" w:hAnsi="Arial" w:cs="Arial"/>
                <w:b/>
                <w:bCs/>
                <w:sz w:val="20"/>
                <w:szCs w:val="20"/>
                <w:lang w:val="fr-CH"/>
              </w:rPr>
            </w:pPr>
          </w:p>
        </w:tc>
        <w:tc>
          <w:tcPr>
            <w:tcW w:w="1443" w:type="dxa"/>
            <w:vMerge w:val="restart"/>
            <w:shd w:val="clear" w:color="auto" w:fill="auto"/>
            <w:vAlign w:val="bottom"/>
          </w:tcPr>
          <w:p w14:paraId="42F127A7" w14:textId="7132365F" w:rsidR="00EC0E23" w:rsidRPr="005E5973" w:rsidRDefault="002079BB" w:rsidP="00ED2B33">
            <w:pPr>
              <w:rPr>
                <w:rFonts w:ascii="Arial" w:hAnsi="Arial" w:cs="Arial"/>
                <w:sz w:val="20"/>
                <w:szCs w:val="20"/>
                <w:lang w:val="fr-CH"/>
              </w:rPr>
            </w:pPr>
            <w:r w:rsidRPr="005E5973">
              <w:rPr>
                <w:rFonts w:ascii="Arial" w:hAnsi="Arial" w:cs="Arial"/>
                <w:sz w:val="20"/>
                <w:szCs w:val="20"/>
                <w:lang w:val="fr-CH"/>
              </w:rPr>
              <w:t>Stratégie de placement</w:t>
            </w:r>
          </w:p>
          <w:p w14:paraId="388B103A" w14:textId="77777777" w:rsidR="00EC0E23" w:rsidRPr="005E5973" w:rsidRDefault="00EC0E23" w:rsidP="00EC0E23">
            <w:pPr>
              <w:jc w:val="center"/>
              <w:rPr>
                <w:rFonts w:ascii="Arial" w:hAnsi="Arial" w:cs="Arial"/>
                <w:sz w:val="20"/>
                <w:szCs w:val="20"/>
                <w:lang w:val="fr-CH"/>
              </w:rPr>
            </w:pPr>
          </w:p>
        </w:tc>
        <w:tc>
          <w:tcPr>
            <w:tcW w:w="2820" w:type="dxa"/>
            <w:gridSpan w:val="2"/>
            <w:tcBorders>
              <w:bottom w:val="nil"/>
            </w:tcBorders>
            <w:shd w:val="clear" w:color="auto" w:fill="auto"/>
            <w:vAlign w:val="bottom"/>
          </w:tcPr>
          <w:p w14:paraId="2D298BE5" w14:textId="77777777" w:rsidR="00ED2B33" w:rsidRPr="005E5973" w:rsidRDefault="00ED2B33" w:rsidP="00EC0E23">
            <w:pPr>
              <w:jc w:val="center"/>
              <w:rPr>
                <w:rFonts w:ascii="Arial" w:hAnsi="Arial" w:cs="Arial"/>
                <w:sz w:val="20"/>
                <w:szCs w:val="20"/>
                <w:lang w:val="fr-CH"/>
              </w:rPr>
            </w:pPr>
          </w:p>
          <w:p w14:paraId="49FA63C0" w14:textId="0BC1416E" w:rsidR="00EC0E23" w:rsidRPr="005E5973" w:rsidRDefault="002079BB" w:rsidP="00997FC2">
            <w:pPr>
              <w:jc w:val="center"/>
              <w:rPr>
                <w:rFonts w:ascii="Arial" w:hAnsi="Arial" w:cs="Arial"/>
                <w:sz w:val="20"/>
                <w:szCs w:val="20"/>
                <w:lang w:val="fr-CH"/>
              </w:rPr>
            </w:pPr>
            <w:r w:rsidRPr="005E5973">
              <w:rPr>
                <w:rFonts w:ascii="Arial" w:hAnsi="Arial" w:cs="Arial"/>
                <w:sz w:val="20"/>
                <w:szCs w:val="20"/>
                <w:lang w:val="fr-CH"/>
              </w:rPr>
              <w:t>Réserves de fluctuation des cours en % des actifs</w:t>
            </w:r>
          </w:p>
        </w:tc>
      </w:tr>
      <w:tr w:rsidR="00984D3B" w:rsidRPr="005E5973" w14:paraId="4E4D9F28" w14:textId="77777777" w:rsidTr="00ED2B33">
        <w:trPr>
          <w:trHeight w:val="306"/>
        </w:trPr>
        <w:tc>
          <w:tcPr>
            <w:tcW w:w="3652" w:type="dxa"/>
            <w:tcBorders>
              <w:top w:val="nil"/>
            </w:tcBorders>
            <w:shd w:val="clear" w:color="auto" w:fill="auto"/>
            <w:vAlign w:val="bottom"/>
          </w:tcPr>
          <w:p w14:paraId="2DE8AD07" w14:textId="33CECF4E" w:rsidR="00EC0E23" w:rsidRPr="005E5973" w:rsidRDefault="002079BB" w:rsidP="00EC0E23">
            <w:pPr>
              <w:rPr>
                <w:rFonts w:ascii="Arial" w:hAnsi="Arial" w:cs="Arial"/>
                <w:b/>
                <w:bCs/>
                <w:sz w:val="20"/>
                <w:szCs w:val="20"/>
                <w:lang w:val="fr-CH"/>
              </w:rPr>
            </w:pPr>
            <w:r w:rsidRPr="005E5973">
              <w:rPr>
                <w:rFonts w:ascii="Arial" w:hAnsi="Arial" w:cs="Arial"/>
                <w:b/>
                <w:bCs/>
                <w:sz w:val="20"/>
                <w:szCs w:val="20"/>
                <w:lang w:val="fr-CH"/>
              </w:rPr>
              <w:t>Catégorie de placement</w:t>
            </w:r>
          </w:p>
          <w:p w14:paraId="5242C167" w14:textId="77777777" w:rsidR="00ED2B33" w:rsidRPr="005E5973" w:rsidRDefault="00ED2B33" w:rsidP="00EC0E23">
            <w:pPr>
              <w:rPr>
                <w:rFonts w:ascii="Arial" w:hAnsi="Arial" w:cs="Arial"/>
                <w:b/>
                <w:bCs/>
                <w:sz w:val="20"/>
                <w:szCs w:val="20"/>
                <w:lang w:val="fr-CH"/>
              </w:rPr>
            </w:pPr>
          </w:p>
          <w:p w14:paraId="660280C8" w14:textId="77777777" w:rsidR="00ED2B33" w:rsidRPr="005E5973" w:rsidRDefault="00ED2B33" w:rsidP="00EC0E23">
            <w:pPr>
              <w:rPr>
                <w:rFonts w:ascii="Arial" w:hAnsi="Arial" w:cs="Arial"/>
                <w:b/>
                <w:bCs/>
                <w:sz w:val="20"/>
                <w:szCs w:val="20"/>
                <w:lang w:val="fr-CH"/>
              </w:rPr>
            </w:pPr>
          </w:p>
          <w:p w14:paraId="75CFC1E9" w14:textId="77777777" w:rsidR="00ED2B33" w:rsidRPr="005E5973" w:rsidRDefault="00ED2B33" w:rsidP="00EC0E23">
            <w:pPr>
              <w:rPr>
                <w:rFonts w:ascii="Arial" w:hAnsi="Arial" w:cs="Arial"/>
                <w:b/>
                <w:bCs/>
                <w:sz w:val="20"/>
                <w:szCs w:val="20"/>
                <w:lang w:val="fr-CH"/>
              </w:rPr>
            </w:pPr>
          </w:p>
        </w:tc>
        <w:tc>
          <w:tcPr>
            <w:tcW w:w="1443" w:type="dxa"/>
            <w:vMerge/>
            <w:shd w:val="clear" w:color="auto" w:fill="auto"/>
            <w:vAlign w:val="bottom"/>
          </w:tcPr>
          <w:p w14:paraId="3E4F0214" w14:textId="77777777" w:rsidR="00EC0E23" w:rsidRPr="005E5973" w:rsidRDefault="00EC0E23" w:rsidP="00EC0E23">
            <w:pPr>
              <w:jc w:val="center"/>
              <w:rPr>
                <w:rFonts w:ascii="Arial" w:hAnsi="Arial" w:cs="Arial"/>
                <w:sz w:val="20"/>
                <w:szCs w:val="20"/>
                <w:lang w:val="fr-CH"/>
              </w:rPr>
            </w:pPr>
          </w:p>
        </w:tc>
        <w:tc>
          <w:tcPr>
            <w:tcW w:w="1418" w:type="dxa"/>
            <w:tcBorders>
              <w:top w:val="nil"/>
            </w:tcBorders>
            <w:shd w:val="clear" w:color="auto" w:fill="auto"/>
            <w:vAlign w:val="bottom"/>
          </w:tcPr>
          <w:p w14:paraId="780F8B9C" w14:textId="77777777" w:rsidR="00EC0E23" w:rsidRPr="005E5973" w:rsidRDefault="00EC0E23" w:rsidP="00EC0E23">
            <w:pPr>
              <w:jc w:val="center"/>
              <w:rPr>
                <w:rFonts w:ascii="Arial" w:hAnsi="Arial" w:cs="Arial"/>
                <w:sz w:val="20"/>
                <w:szCs w:val="20"/>
                <w:lang w:val="fr-CH"/>
              </w:rPr>
            </w:pPr>
          </w:p>
        </w:tc>
        <w:tc>
          <w:tcPr>
            <w:tcW w:w="1402" w:type="dxa"/>
            <w:tcBorders>
              <w:top w:val="nil"/>
            </w:tcBorders>
            <w:shd w:val="clear" w:color="auto" w:fill="auto"/>
            <w:vAlign w:val="bottom"/>
          </w:tcPr>
          <w:p w14:paraId="076BD16B" w14:textId="77777777" w:rsidR="00EC0E23" w:rsidRPr="005E5973" w:rsidRDefault="00EC0E23" w:rsidP="00EC0E23">
            <w:pPr>
              <w:jc w:val="center"/>
              <w:rPr>
                <w:rFonts w:ascii="Arial" w:hAnsi="Arial" w:cs="Arial"/>
                <w:sz w:val="20"/>
                <w:szCs w:val="20"/>
                <w:lang w:val="fr-CH"/>
              </w:rPr>
            </w:pPr>
          </w:p>
        </w:tc>
      </w:tr>
      <w:tr w:rsidR="00984D3B" w:rsidRPr="005E5973" w14:paraId="20C98D20" w14:textId="77777777" w:rsidTr="00ED2B33">
        <w:trPr>
          <w:trHeight w:val="474"/>
        </w:trPr>
        <w:tc>
          <w:tcPr>
            <w:tcW w:w="3652" w:type="dxa"/>
            <w:shd w:val="clear" w:color="auto" w:fill="auto"/>
            <w:vAlign w:val="bottom"/>
          </w:tcPr>
          <w:p w14:paraId="12DF9E98" w14:textId="77777777" w:rsidR="00EC0E23" w:rsidRPr="005E5973" w:rsidRDefault="00EC0E23" w:rsidP="00EC0E23">
            <w:pPr>
              <w:rPr>
                <w:rFonts w:ascii="Arial" w:hAnsi="Arial" w:cs="Arial"/>
                <w:sz w:val="20"/>
                <w:szCs w:val="20"/>
                <w:lang w:val="fr-CH"/>
              </w:rPr>
            </w:pPr>
            <w:r w:rsidRPr="005E5973">
              <w:rPr>
                <w:rFonts w:ascii="Arial" w:hAnsi="Arial" w:cs="Arial"/>
                <w:sz w:val="20"/>
                <w:szCs w:val="20"/>
                <w:lang w:val="fr-CH"/>
              </w:rPr>
              <w:t> </w:t>
            </w:r>
          </w:p>
        </w:tc>
        <w:tc>
          <w:tcPr>
            <w:tcW w:w="1443" w:type="dxa"/>
            <w:shd w:val="clear" w:color="auto" w:fill="auto"/>
            <w:vAlign w:val="bottom"/>
          </w:tcPr>
          <w:p w14:paraId="27D3F7A0" w14:textId="74A15792" w:rsidR="00EC0E23" w:rsidRPr="005E5973" w:rsidRDefault="002079BB" w:rsidP="00997FC2">
            <w:pPr>
              <w:jc w:val="right"/>
              <w:rPr>
                <w:rFonts w:ascii="Arial" w:hAnsi="Arial" w:cs="Arial"/>
                <w:sz w:val="20"/>
                <w:szCs w:val="20"/>
                <w:lang w:val="fr-CH"/>
              </w:rPr>
            </w:pPr>
            <w:r w:rsidRPr="005E5973">
              <w:rPr>
                <w:rFonts w:ascii="Arial" w:hAnsi="Arial" w:cs="Arial"/>
                <w:sz w:val="20"/>
                <w:szCs w:val="20"/>
                <w:lang w:val="fr-CH"/>
              </w:rPr>
              <w:t>A</w:t>
            </w:r>
          </w:p>
        </w:tc>
        <w:tc>
          <w:tcPr>
            <w:tcW w:w="1418" w:type="dxa"/>
            <w:shd w:val="clear" w:color="auto" w:fill="auto"/>
            <w:vAlign w:val="bottom"/>
          </w:tcPr>
          <w:p w14:paraId="09CF76C4" w14:textId="39CBADD4" w:rsidR="00EC0E23" w:rsidRPr="005E5973" w:rsidRDefault="002079BB" w:rsidP="00997FC2">
            <w:pPr>
              <w:jc w:val="right"/>
              <w:rPr>
                <w:rFonts w:ascii="Arial" w:hAnsi="Arial" w:cs="Arial"/>
                <w:sz w:val="20"/>
                <w:szCs w:val="20"/>
                <w:lang w:val="fr-CH"/>
              </w:rPr>
            </w:pPr>
            <w:r w:rsidRPr="005E5973">
              <w:rPr>
                <w:rFonts w:ascii="Arial" w:hAnsi="Arial" w:cs="Arial"/>
                <w:sz w:val="20"/>
                <w:szCs w:val="20"/>
                <w:lang w:val="fr-CH"/>
              </w:rPr>
              <w:t>B</w:t>
            </w:r>
          </w:p>
        </w:tc>
        <w:tc>
          <w:tcPr>
            <w:tcW w:w="1402" w:type="dxa"/>
            <w:shd w:val="clear" w:color="auto" w:fill="auto"/>
            <w:vAlign w:val="bottom"/>
          </w:tcPr>
          <w:p w14:paraId="770BF52C" w14:textId="6DEACDAD" w:rsidR="00EC0E23" w:rsidRPr="005E5973" w:rsidRDefault="002079BB" w:rsidP="00997FC2">
            <w:pPr>
              <w:jc w:val="right"/>
              <w:rPr>
                <w:rFonts w:ascii="Arial" w:hAnsi="Arial" w:cs="Arial"/>
                <w:b/>
                <w:sz w:val="20"/>
                <w:szCs w:val="20"/>
                <w:lang w:val="fr-CH"/>
              </w:rPr>
            </w:pPr>
            <w:r w:rsidRPr="005E5973">
              <w:rPr>
                <w:rFonts w:ascii="Arial" w:hAnsi="Arial" w:cs="Arial"/>
                <w:b/>
                <w:sz w:val="20"/>
                <w:szCs w:val="20"/>
                <w:lang w:val="fr-CH"/>
              </w:rPr>
              <w:t>C = A x B</w:t>
            </w:r>
          </w:p>
        </w:tc>
      </w:tr>
      <w:tr w:rsidR="00984D3B" w:rsidRPr="005E5973" w14:paraId="749C7506" w14:textId="77777777" w:rsidTr="00ED2B33">
        <w:tc>
          <w:tcPr>
            <w:tcW w:w="3652" w:type="dxa"/>
            <w:shd w:val="clear" w:color="auto" w:fill="auto"/>
            <w:vAlign w:val="bottom"/>
          </w:tcPr>
          <w:p w14:paraId="6F37CD14" w14:textId="02099CAB" w:rsidR="00EC0E23" w:rsidRPr="005E5973" w:rsidRDefault="00252BCC" w:rsidP="00997FC2">
            <w:pPr>
              <w:rPr>
                <w:rFonts w:ascii="Arial" w:hAnsi="Arial" w:cs="Arial"/>
                <w:sz w:val="20"/>
                <w:szCs w:val="20"/>
                <w:lang w:val="fr-CH"/>
              </w:rPr>
            </w:pPr>
            <w:r w:rsidRPr="005E5973">
              <w:rPr>
                <w:rFonts w:ascii="Arial" w:hAnsi="Arial" w:cs="Arial"/>
                <w:sz w:val="20"/>
                <w:szCs w:val="20"/>
                <w:lang w:val="fr-CH"/>
              </w:rPr>
              <w:t>Fonds à court terme et liquidités (incl.</w:t>
            </w:r>
            <w:r w:rsidR="00EC0E23" w:rsidRPr="005E5973">
              <w:rPr>
                <w:rFonts w:ascii="Arial" w:hAnsi="Arial" w:cs="Arial"/>
                <w:sz w:val="20"/>
                <w:szCs w:val="20"/>
                <w:lang w:val="fr-CH"/>
              </w:rPr>
              <w:t xml:space="preserve"> </w:t>
            </w:r>
            <w:r w:rsidRPr="005E5973">
              <w:rPr>
                <w:rFonts w:ascii="Arial" w:hAnsi="Arial" w:cs="Arial"/>
                <w:sz w:val="20"/>
                <w:szCs w:val="20"/>
                <w:lang w:val="fr-CH"/>
              </w:rPr>
              <w:t>dépôts à terme d’une durée de moins d’1 an)</w:t>
            </w:r>
          </w:p>
        </w:tc>
        <w:tc>
          <w:tcPr>
            <w:tcW w:w="1443" w:type="dxa"/>
            <w:shd w:val="clear" w:color="auto" w:fill="auto"/>
            <w:vAlign w:val="center"/>
          </w:tcPr>
          <w:p w14:paraId="4AC36AE8" w14:textId="7409B9B5" w:rsidR="00EC0E23" w:rsidRPr="005E5973" w:rsidRDefault="00B56861" w:rsidP="00984D3B">
            <w:pPr>
              <w:jc w:val="right"/>
              <w:rPr>
                <w:rFonts w:ascii="Arial" w:hAnsi="Arial" w:cs="Arial"/>
                <w:bCs/>
                <w:sz w:val="20"/>
                <w:szCs w:val="20"/>
                <w:lang w:val="fr-CH"/>
              </w:rPr>
            </w:pPr>
            <w:r w:rsidRPr="005E5973">
              <w:rPr>
                <w:rFonts w:ascii="Arial" w:hAnsi="Arial" w:cs="Arial"/>
                <w:bCs/>
                <w:sz w:val="20"/>
                <w:szCs w:val="20"/>
                <w:lang w:val="fr-CH"/>
              </w:rPr>
              <w:t>5</w:t>
            </w:r>
            <w:r w:rsidR="00CC3082" w:rsidRPr="005E5973">
              <w:rPr>
                <w:rFonts w:ascii="Arial" w:hAnsi="Arial" w:cs="Arial"/>
                <w:bCs/>
                <w:sz w:val="20"/>
                <w:szCs w:val="20"/>
                <w:lang w:val="fr-CH"/>
              </w:rPr>
              <w:t xml:space="preserve"> </w:t>
            </w:r>
            <w:r w:rsidR="00EC0E23" w:rsidRPr="005E5973">
              <w:rPr>
                <w:rFonts w:ascii="Arial" w:hAnsi="Arial" w:cs="Arial"/>
                <w:bCs/>
                <w:sz w:val="20"/>
                <w:szCs w:val="20"/>
                <w:lang w:val="fr-CH"/>
              </w:rPr>
              <w:t>%</w:t>
            </w:r>
          </w:p>
        </w:tc>
        <w:tc>
          <w:tcPr>
            <w:tcW w:w="1418" w:type="dxa"/>
            <w:shd w:val="clear" w:color="auto" w:fill="auto"/>
            <w:vAlign w:val="center"/>
          </w:tcPr>
          <w:p w14:paraId="45E91CD3" w14:textId="71DEF7C7" w:rsidR="00EC0E23" w:rsidRPr="005E5973" w:rsidRDefault="00EC0E23" w:rsidP="00984D3B">
            <w:pPr>
              <w:jc w:val="right"/>
              <w:rPr>
                <w:rFonts w:ascii="Arial" w:hAnsi="Arial" w:cs="Arial"/>
                <w:sz w:val="20"/>
                <w:szCs w:val="20"/>
                <w:lang w:val="fr-CH"/>
              </w:rPr>
            </w:pPr>
            <w:r w:rsidRPr="005E5973">
              <w:rPr>
                <w:rFonts w:ascii="Arial" w:hAnsi="Arial" w:cs="Arial"/>
                <w:sz w:val="20"/>
                <w:szCs w:val="20"/>
                <w:lang w:val="fr-CH"/>
              </w:rPr>
              <w:t>0</w:t>
            </w:r>
            <w:r w:rsidR="00CC3082" w:rsidRPr="005E5973">
              <w:rPr>
                <w:rFonts w:ascii="Arial" w:hAnsi="Arial" w:cs="Arial"/>
                <w:sz w:val="20"/>
                <w:szCs w:val="20"/>
                <w:lang w:val="fr-CH"/>
              </w:rPr>
              <w:t xml:space="preserve"> </w:t>
            </w:r>
            <w:r w:rsidRPr="005E5973">
              <w:rPr>
                <w:rFonts w:ascii="Arial" w:hAnsi="Arial" w:cs="Arial"/>
                <w:sz w:val="20"/>
                <w:szCs w:val="20"/>
                <w:lang w:val="fr-CH"/>
              </w:rPr>
              <w:t>%</w:t>
            </w:r>
          </w:p>
        </w:tc>
        <w:tc>
          <w:tcPr>
            <w:tcW w:w="1402" w:type="dxa"/>
            <w:shd w:val="clear" w:color="auto" w:fill="auto"/>
            <w:vAlign w:val="center"/>
          </w:tcPr>
          <w:p w14:paraId="1B039CA0" w14:textId="33DFA3E6" w:rsidR="00EC0E23" w:rsidRPr="005E5973" w:rsidRDefault="00EC0E23" w:rsidP="00984D3B">
            <w:pPr>
              <w:jc w:val="right"/>
              <w:rPr>
                <w:rFonts w:ascii="Arial" w:hAnsi="Arial" w:cs="Arial"/>
                <w:b/>
                <w:sz w:val="20"/>
                <w:szCs w:val="20"/>
                <w:lang w:val="fr-CH"/>
              </w:rPr>
            </w:pPr>
            <w:r w:rsidRPr="005E5973">
              <w:rPr>
                <w:rFonts w:ascii="Arial" w:hAnsi="Arial" w:cs="Arial"/>
                <w:b/>
                <w:sz w:val="20"/>
                <w:szCs w:val="20"/>
                <w:lang w:val="fr-CH"/>
              </w:rPr>
              <w:t>0</w:t>
            </w:r>
            <w:r w:rsidR="00CC3082" w:rsidRPr="005E5973">
              <w:rPr>
                <w:rFonts w:ascii="Arial" w:hAnsi="Arial" w:cs="Arial"/>
                <w:b/>
                <w:sz w:val="20"/>
                <w:szCs w:val="20"/>
                <w:lang w:val="fr-CH"/>
              </w:rPr>
              <w:t xml:space="preserve"> </w:t>
            </w:r>
            <w:r w:rsidRPr="005E5973">
              <w:rPr>
                <w:rFonts w:ascii="Arial" w:hAnsi="Arial" w:cs="Arial"/>
                <w:b/>
                <w:sz w:val="20"/>
                <w:szCs w:val="20"/>
                <w:lang w:val="fr-CH"/>
              </w:rPr>
              <w:t xml:space="preserve">% </w:t>
            </w:r>
          </w:p>
        </w:tc>
      </w:tr>
      <w:tr w:rsidR="00984D3B" w:rsidRPr="005E5973" w14:paraId="5491A0D1" w14:textId="77777777" w:rsidTr="00ED2B33">
        <w:tc>
          <w:tcPr>
            <w:tcW w:w="3652" w:type="dxa"/>
            <w:shd w:val="clear" w:color="auto" w:fill="auto"/>
            <w:vAlign w:val="bottom"/>
          </w:tcPr>
          <w:p w14:paraId="31424B49" w14:textId="40A5E4E6" w:rsidR="00EC0E23" w:rsidRPr="005E5973" w:rsidRDefault="002079BB" w:rsidP="00EC0E23">
            <w:pPr>
              <w:rPr>
                <w:rFonts w:ascii="Arial" w:hAnsi="Arial" w:cs="Arial"/>
                <w:sz w:val="20"/>
                <w:szCs w:val="20"/>
                <w:lang w:val="fr-CH"/>
              </w:rPr>
            </w:pPr>
            <w:r w:rsidRPr="005E5973">
              <w:rPr>
                <w:rFonts w:ascii="Arial" w:hAnsi="Arial" w:cs="Arial"/>
                <w:sz w:val="20"/>
                <w:szCs w:val="20"/>
                <w:lang w:val="fr-CH"/>
              </w:rPr>
              <w:t>Obligations en CHF</w:t>
            </w:r>
          </w:p>
          <w:p w14:paraId="574EFCC5" w14:textId="0930F789" w:rsidR="00EC0E23" w:rsidRPr="005E5973" w:rsidRDefault="00252BCC" w:rsidP="00997FC2">
            <w:pPr>
              <w:rPr>
                <w:rFonts w:ascii="Arial" w:hAnsi="Arial" w:cs="Arial"/>
                <w:color w:val="FF0000"/>
                <w:sz w:val="20"/>
                <w:szCs w:val="20"/>
                <w:lang w:val="fr-CH"/>
              </w:rPr>
            </w:pPr>
            <w:r w:rsidRPr="005E5973">
              <w:rPr>
                <w:rFonts w:ascii="Arial" w:hAnsi="Arial" w:cs="Arial"/>
                <w:sz w:val="20"/>
                <w:szCs w:val="20"/>
                <w:lang w:val="fr-CH"/>
              </w:rPr>
              <w:t>(incl. placements collectifs)</w:t>
            </w:r>
          </w:p>
        </w:tc>
        <w:tc>
          <w:tcPr>
            <w:tcW w:w="1443" w:type="dxa"/>
            <w:shd w:val="clear" w:color="auto" w:fill="auto"/>
            <w:vAlign w:val="center"/>
          </w:tcPr>
          <w:p w14:paraId="0C43F5D3" w14:textId="3426515C" w:rsidR="00EC0E23" w:rsidRPr="005E5973" w:rsidRDefault="002C3742" w:rsidP="00984D3B">
            <w:pPr>
              <w:jc w:val="right"/>
              <w:rPr>
                <w:rFonts w:ascii="Arial" w:hAnsi="Arial" w:cs="Arial"/>
                <w:bCs/>
                <w:sz w:val="20"/>
                <w:szCs w:val="20"/>
                <w:lang w:val="fr-CH"/>
              </w:rPr>
            </w:pPr>
            <w:r w:rsidRPr="005E5973">
              <w:rPr>
                <w:rFonts w:ascii="Arial" w:hAnsi="Arial" w:cs="Arial"/>
                <w:bCs/>
                <w:sz w:val="20"/>
                <w:szCs w:val="20"/>
                <w:lang w:val="fr-CH"/>
              </w:rPr>
              <w:t>5</w:t>
            </w:r>
            <w:r w:rsidR="00EB5F2B" w:rsidRPr="005E5973">
              <w:rPr>
                <w:rFonts w:ascii="Arial" w:hAnsi="Arial" w:cs="Arial"/>
                <w:bCs/>
                <w:sz w:val="20"/>
                <w:szCs w:val="20"/>
                <w:lang w:val="fr-CH"/>
              </w:rPr>
              <w:t>5</w:t>
            </w:r>
            <w:r w:rsidR="00CC3082" w:rsidRPr="005E5973">
              <w:rPr>
                <w:rFonts w:ascii="Arial" w:hAnsi="Arial" w:cs="Arial"/>
                <w:bCs/>
                <w:sz w:val="20"/>
                <w:szCs w:val="20"/>
                <w:lang w:val="fr-CH"/>
              </w:rPr>
              <w:t xml:space="preserve"> </w:t>
            </w:r>
            <w:r w:rsidR="00EC0E23" w:rsidRPr="005E5973">
              <w:rPr>
                <w:rFonts w:ascii="Arial" w:hAnsi="Arial" w:cs="Arial"/>
                <w:bCs/>
                <w:sz w:val="20"/>
                <w:szCs w:val="20"/>
                <w:lang w:val="fr-CH"/>
              </w:rPr>
              <w:t>%</w:t>
            </w:r>
          </w:p>
        </w:tc>
        <w:tc>
          <w:tcPr>
            <w:tcW w:w="1418" w:type="dxa"/>
            <w:shd w:val="clear" w:color="auto" w:fill="auto"/>
            <w:vAlign w:val="center"/>
          </w:tcPr>
          <w:p w14:paraId="263A547B" w14:textId="11D4845B" w:rsidR="00EC0E23" w:rsidRPr="005E5973" w:rsidRDefault="00EC0E23" w:rsidP="00984D3B">
            <w:pPr>
              <w:jc w:val="right"/>
              <w:rPr>
                <w:rFonts w:ascii="Arial" w:hAnsi="Arial" w:cs="Arial"/>
                <w:sz w:val="20"/>
                <w:szCs w:val="20"/>
                <w:lang w:val="fr-CH"/>
              </w:rPr>
            </w:pPr>
            <w:r w:rsidRPr="005E5973">
              <w:rPr>
                <w:rFonts w:ascii="Arial" w:hAnsi="Arial" w:cs="Arial"/>
                <w:sz w:val="20"/>
                <w:szCs w:val="20"/>
                <w:lang w:val="fr-CH"/>
              </w:rPr>
              <w:t>7.5</w:t>
            </w:r>
            <w:r w:rsidR="00CC3082" w:rsidRPr="005E5973">
              <w:rPr>
                <w:rFonts w:ascii="Arial" w:hAnsi="Arial" w:cs="Arial"/>
                <w:sz w:val="20"/>
                <w:szCs w:val="20"/>
                <w:lang w:val="fr-CH"/>
              </w:rPr>
              <w:t xml:space="preserve"> </w:t>
            </w:r>
            <w:r w:rsidRPr="005E5973">
              <w:rPr>
                <w:rFonts w:ascii="Arial" w:hAnsi="Arial" w:cs="Arial"/>
                <w:sz w:val="20"/>
                <w:szCs w:val="20"/>
                <w:lang w:val="fr-CH"/>
              </w:rPr>
              <w:t>%</w:t>
            </w:r>
          </w:p>
        </w:tc>
        <w:tc>
          <w:tcPr>
            <w:tcW w:w="1402" w:type="dxa"/>
            <w:shd w:val="clear" w:color="auto" w:fill="auto"/>
            <w:vAlign w:val="center"/>
          </w:tcPr>
          <w:p w14:paraId="26C7A856" w14:textId="77777777" w:rsidR="00EC0E23" w:rsidRPr="005E5973" w:rsidRDefault="00B56861" w:rsidP="00984D3B">
            <w:pPr>
              <w:jc w:val="right"/>
              <w:rPr>
                <w:rFonts w:ascii="Arial" w:hAnsi="Arial" w:cs="Arial"/>
                <w:b/>
                <w:sz w:val="20"/>
                <w:szCs w:val="20"/>
                <w:lang w:val="fr-CH"/>
              </w:rPr>
            </w:pPr>
            <w:r w:rsidRPr="005E5973">
              <w:rPr>
                <w:rFonts w:ascii="Arial" w:hAnsi="Arial" w:cs="Arial"/>
                <w:b/>
                <w:sz w:val="20"/>
                <w:szCs w:val="20"/>
                <w:lang w:val="fr-CH"/>
              </w:rPr>
              <w:t>4.</w:t>
            </w:r>
            <w:r w:rsidR="00EB5F2B" w:rsidRPr="005E5973">
              <w:rPr>
                <w:rFonts w:ascii="Arial" w:hAnsi="Arial" w:cs="Arial"/>
                <w:b/>
                <w:sz w:val="20"/>
                <w:szCs w:val="20"/>
                <w:lang w:val="fr-CH"/>
              </w:rPr>
              <w:t>1</w:t>
            </w:r>
            <w:r w:rsidR="00EC0E23" w:rsidRPr="005E5973">
              <w:rPr>
                <w:rFonts w:ascii="Arial" w:hAnsi="Arial" w:cs="Arial"/>
                <w:b/>
                <w:sz w:val="20"/>
                <w:szCs w:val="20"/>
                <w:lang w:val="fr-CH"/>
              </w:rPr>
              <w:t xml:space="preserve"> %</w:t>
            </w:r>
          </w:p>
        </w:tc>
      </w:tr>
      <w:tr w:rsidR="00984D3B" w:rsidRPr="005E5973" w14:paraId="0B40C09F" w14:textId="77777777" w:rsidTr="00ED2B33">
        <w:tc>
          <w:tcPr>
            <w:tcW w:w="3652" w:type="dxa"/>
            <w:shd w:val="clear" w:color="auto" w:fill="auto"/>
            <w:vAlign w:val="bottom"/>
          </w:tcPr>
          <w:p w14:paraId="71D346E4" w14:textId="0A72CF2D" w:rsidR="00BC144A" w:rsidRPr="005E5973" w:rsidRDefault="002079BB" w:rsidP="00997FC2">
            <w:pPr>
              <w:rPr>
                <w:rFonts w:ascii="Arial" w:hAnsi="Arial" w:cs="Arial"/>
                <w:sz w:val="20"/>
                <w:szCs w:val="20"/>
                <w:lang w:val="fr-CH"/>
              </w:rPr>
            </w:pPr>
            <w:r w:rsidRPr="005E5973">
              <w:rPr>
                <w:rFonts w:ascii="Arial" w:hAnsi="Arial" w:cs="Arial"/>
                <w:sz w:val="20"/>
                <w:szCs w:val="20"/>
                <w:lang w:val="fr-CH"/>
              </w:rPr>
              <w:t>Obligations en devises</w:t>
            </w:r>
          </w:p>
        </w:tc>
        <w:tc>
          <w:tcPr>
            <w:tcW w:w="1443" w:type="dxa"/>
            <w:shd w:val="clear" w:color="auto" w:fill="auto"/>
            <w:vAlign w:val="center"/>
          </w:tcPr>
          <w:p w14:paraId="51539848" w14:textId="3D0C12F5" w:rsidR="00BC144A" w:rsidRPr="005E5973" w:rsidRDefault="002C3742" w:rsidP="00984D3B">
            <w:pPr>
              <w:jc w:val="right"/>
              <w:rPr>
                <w:rFonts w:ascii="Arial" w:hAnsi="Arial" w:cs="Arial"/>
                <w:bCs/>
                <w:sz w:val="20"/>
                <w:szCs w:val="20"/>
                <w:lang w:val="fr-CH"/>
              </w:rPr>
            </w:pPr>
            <w:r w:rsidRPr="005E5973">
              <w:rPr>
                <w:rFonts w:ascii="Arial" w:hAnsi="Arial" w:cs="Arial"/>
                <w:bCs/>
                <w:sz w:val="20"/>
                <w:szCs w:val="20"/>
                <w:lang w:val="fr-CH"/>
              </w:rPr>
              <w:t>5</w:t>
            </w:r>
            <w:r w:rsidR="00CC3082" w:rsidRPr="005E5973">
              <w:rPr>
                <w:rFonts w:ascii="Arial" w:hAnsi="Arial" w:cs="Arial"/>
                <w:bCs/>
                <w:sz w:val="20"/>
                <w:szCs w:val="20"/>
                <w:lang w:val="fr-CH"/>
              </w:rPr>
              <w:t xml:space="preserve"> </w:t>
            </w:r>
            <w:r w:rsidR="00BC144A" w:rsidRPr="005E5973">
              <w:rPr>
                <w:rFonts w:ascii="Arial" w:hAnsi="Arial" w:cs="Arial"/>
                <w:bCs/>
                <w:sz w:val="20"/>
                <w:szCs w:val="20"/>
                <w:lang w:val="fr-CH"/>
              </w:rPr>
              <w:t>%</w:t>
            </w:r>
          </w:p>
        </w:tc>
        <w:tc>
          <w:tcPr>
            <w:tcW w:w="1418" w:type="dxa"/>
            <w:shd w:val="clear" w:color="auto" w:fill="auto"/>
            <w:vAlign w:val="center"/>
          </w:tcPr>
          <w:p w14:paraId="0F05DAF3" w14:textId="20E662AA" w:rsidR="00BC144A" w:rsidRPr="005E5973" w:rsidRDefault="00BC144A" w:rsidP="00984D3B">
            <w:pPr>
              <w:jc w:val="right"/>
              <w:rPr>
                <w:rFonts w:ascii="Arial" w:hAnsi="Arial" w:cs="Arial"/>
                <w:sz w:val="20"/>
                <w:szCs w:val="20"/>
                <w:lang w:val="fr-CH"/>
              </w:rPr>
            </w:pPr>
            <w:r w:rsidRPr="005E5973">
              <w:rPr>
                <w:rFonts w:ascii="Arial" w:hAnsi="Arial" w:cs="Arial"/>
                <w:sz w:val="20"/>
                <w:szCs w:val="20"/>
                <w:lang w:val="fr-CH"/>
              </w:rPr>
              <w:t>10</w:t>
            </w:r>
            <w:r w:rsidR="00CC3082" w:rsidRPr="005E5973">
              <w:rPr>
                <w:rFonts w:ascii="Arial" w:hAnsi="Arial" w:cs="Arial"/>
                <w:sz w:val="20"/>
                <w:szCs w:val="20"/>
                <w:lang w:val="fr-CH"/>
              </w:rPr>
              <w:t xml:space="preserve"> </w:t>
            </w:r>
            <w:r w:rsidRPr="005E5973">
              <w:rPr>
                <w:rFonts w:ascii="Arial" w:hAnsi="Arial" w:cs="Arial"/>
                <w:sz w:val="20"/>
                <w:szCs w:val="20"/>
                <w:lang w:val="fr-CH"/>
              </w:rPr>
              <w:t>%</w:t>
            </w:r>
          </w:p>
        </w:tc>
        <w:tc>
          <w:tcPr>
            <w:tcW w:w="1402" w:type="dxa"/>
            <w:shd w:val="clear" w:color="auto" w:fill="auto"/>
            <w:vAlign w:val="center"/>
          </w:tcPr>
          <w:p w14:paraId="6EAD591E" w14:textId="14ABC4FB" w:rsidR="00BC144A" w:rsidRPr="005E5973" w:rsidRDefault="002C3742" w:rsidP="00984D3B">
            <w:pPr>
              <w:jc w:val="right"/>
              <w:rPr>
                <w:rFonts w:ascii="Arial" w:hAnsi="Arial" w:cs="Arial"/>
                <w:b/>
                <w:sz w:val="20"/>
                <w:szCs w:val="20"/>
                <w:lang w:val="fr-CH"/>
              </w:rPr>
            </w:pPr>
            <w:r w:rsidRPr="005E5973">
              <w:rPr>
                <w:rFonts w:ascii="Arial" w:hAnsi="Arial" w:cs="Arial"/>
                <w:b/>
                <w:sz w:val="20"/>
                <w:szCs w:val="20"/>
                <w:lang w:val="fr-CH"/>
              </w:rPr>
              <w:t>0.5</w:t>
            </w:r>
            <w:r w:rsidR="00CC3082" w:rsidRPr="005E5973">
              <w:rPr>
                <w:rFonts w:ascii="Arial" w:hAnsi="Arial" w:cs="Arial"/>
                <w:b/>
                <w:sz w:val="20"/>
                <w:szCs w:val="20"/>
                <w:lang w:val="fr-CH"/>
              </w:rPr>
              <w:t xml:space="preserve"> </w:t>
            </w:r>
            <w:r w:rsidR="00BC144A" w:rsidRPr="005E5973">
              <w:rPr>
                <w:rFonts w:ascii="Arial" w:hAnsi="Arial" w:cs="Arial"/>
                <w:b/>
                <w:sz w:val="20"/>
                <w:szCs w:val="20"/>
                <w:lang w:val="fr-CH"/>
              </w:rPr>
              <w:t>%</w:t>
            </w:r>
          </w:p>
        </w:tc>
      </w:tr>
      <w:tr w:rsidR="00984D3B" w:rsidRPr="005E5973" w14:paraId="2251F989" w14:textId="77777777" w:rsidTr="00ED2B33">
        <w:tc>
          <w:tcPr>
            <w:tcW w:w="3652" w:type="dxa"/>
            <w:shd w:val="clear" w:color="auto" w:fill="auto"/>
            <w:vAlign w:val="bottom"/>
          </w:tcPr>
          <w:p w14:paraId="4E2A5CD1" w14:textId="3CB4DBEB" w:rsidR="00EC0E23" w:rsidRPr="005E5973" w:rsidRDefault="002079BB" w:rsidP="00EC0E23">
            <w:pPr>
              <w:rPr>
                <w:rFonts w:ascii="Arial" w:hAnsi="Arial" w:cs="Arial"/>
                <w:sz w:val="20"/>
                <w:szCs w:val="20"/>
                <w:lang w:val="fr-CH"/>
              </w:rPr>
            </w:pPr>
            <w:r w:rsidRPr="005E5973">
              <w:rPr>
                <w:rFonts w:ascii="Arial" w:hAnsi="Arial" w:cs="Arial"/>
                <w:sz w:val="20"/>
                <w:szCs w:val="20"/>
                <w:lang w:val="fr-CH"/>
              </w:rPr>
              <w:t>Actions Suisse</w:t>
            </w:r>
          </w:p>
          <w:p w14:paraId="4A379B96" w14:textId="75BE6E71" w:rsidR="00EC0E23" w:rsidRPr="005E5973" w:rsidRDefault="00252BCC" w:rsidP="00997FC2">
            <w:pPr>
              <w:rPr>
                <w:rFonts w:ascii="Arial" w:hAnsi="Arial" w:cs="Arial"/>
                <w:color w:val="FF0000"/>
                <w:sz w:val="20"/>
                <w:szCs w:val="20"/>
                <w:lang w:val="fr-CH"/>
              </w:rPr>
            </w:pPr>
            <w:r w:rsidRPr="005E5973">
              <w:rPr>
                <w:rFonts w:ascii="Arial" w:hAnsi="Arial" w:cs="Arial"/>
                <w:sz w:val="20"/>
                <w:szCs w:val="20"/>
                <w:lang w:val="fr-CH"/>
              </w:rPr>
              <w:t>(incl. placements collectifs)</w:t>
            </w:r>
          </w:p>
        </w:tc>
        <w:tc>
          <w:tcPr>
            <w:tcW w:w="1443" w:type="dxa"/>
            <w:shd w:val="clear" w:color="auto" w:fill="auto"/>
            <w:vAlign w:val="center"/>
          </w:tcPr>
          <w:p w14:paraId="5258A547" w14:textId="1340275C" w:rsidR="00EC0E23" w:rsidRPr="005E5973" w:rsidRDefault="00B56861" w:rsidP="00984D3B">
            <w:pPr>
              <w:jc w:val="right"/>
              <w:rPr>
                <w:rFonts w:ascii="Arial" w:hAnsi="Arial" w:cs="Arial"/>
                <w:bCs/>
                <w:sz w:val="20"/>
                <w:szCs w:val="20"/>
                <w:lang w:val="fr-CH"/>
              </w:rPr>
            </w:pPr>
            <w:r w:rsidRPr="005E5973">
              <w:rPr>
                <w:rFonts w:ascii="Arial" w:hAnsi="Arial" w:cs="Arial"/>
                <w:bCs/>
                <w:sz w:val="20"/>
                <w:szCs w:val="20"/>
                <w:lang w:val="fr-CH"/>
              </w:rPr>
              <w:t>15</w:t>
            </w:r>
            <w:r w:rsidR="00CC3082" w:rsidRPr="005E5973">
              <w:rPr>
                <w:rFonts w:ascii="Arial" w:hAnsi="Arial" w:cs="Arial"/>
                <w:bCs/>
                <w:sz w:val="20"/>
                <w:szCs w:val="20"/>
                <w:lang w:val="fr-CH"/>
              </w:rPr>
              <w:t xml:space="preserve"> </w:t>
            </w:r>
            <w:r w:rsidR="00EC0E23" w:rsidRPr="005E5973">
              <w:rPr>
                <w:rFonts w:ascii="Arial" w:hAnsi="Arial" w:cs="Arial"/>
                <w:bCs/>
                <w:sz w:val="20"/>
                <w:szCs w:val="20"/>
                <w:lang w:val="fr-CH"/>
              </w:rPr>
              <w:t>%</w:t>
            </w:r>
          </w:p>
        </w:tc>
        <w:tc>
          <w:tcPr>
            <w:tcW w:w="1418" w:type="dxa"/>
            <w:shd w:val="clear" w:color="auto" w:fill="auto"/>
            <w:vAlign w:val="center"/>
          </w:tcPr>
          <w:p w14:paraId="2DC98231" w14:textId="4163D1CC" w:rsidR="00EC0E23" w:rsidRPr="005E5973" w:rsidRDefault="00EC0E23" w:rsidP="00984D3B">
            <w:pPr>
              <w:jc w:val="right"/>
              <w:rPr>
                <w:rFonts w:ascii="Arial" w:hAnsi="Arial" w:cs="Arial"/>
                <w:sz w:val="20"/>
                <w:szCs w:val="20"/>
                <w:lang w:val="fr-CH"/>
              </w:rPr>
            </w:pPr>
            <w:r w:rsidRPr="005E5973">
              <w:rPr>
                <w:rFonts w:ascii="Arial" w:hAnsi="Arial" w:cs="Arial"/>
                <w:sz w:val="20"/>
                <w:szCs w:val="20"/>
                <w:lang w:val="fr-CH"/>
              </w:rPr>
              <w:t>20</w:t>
            </w:r>
            <w:r w:rsidR="00CC3082" w:rsidRPr="005E5973">
              <w:rPr>
                <w:rFonts w:ascii="Arial" w:hAnsi="Arial" w:cs="Arial"/>
                <w:sz w:val="20"/>
                <w:szCs w:val="20"/>
                <w:lang w:val="fr-CH"/>
              </w:rPr>
              <w:t xml:space="preserve"> </w:t>
            </w:r>
            <w:r w:rsidRPr="005E5973">
              <w:rPr>
                <w:rFonts w:ascii="Arial" w:hAnsi="Arial" w:cs="Arial"/>
                <w:sz w:val="20"/>
                <w:szCs w:val="20"/>
                <w:lang w:val="fr-CH"/>
              </w:rPr>
              <w:t>%</w:t>
            </w:r>
          </w:p>
        </w:tc>
        <w:tc>
          <w:tcPr>
            <w:tcW w:w="1402" w:type="dxa"/>
            <w:shd w:val="clear" w:color="auto" w:fill="auto"/>
            <w:vAlign w:val="center"/>
          </w:tcPr>
          <w:p w14:paraId="26944CC5" w14:textId="1CB09FA3" w:rsidR="00EC0E23" w:rsidRPr="005E5973" w:rsidRDefault="00B56861" w:rsidP="00984D3B">
            <w:pPr>
              <w:jc w:val="right"/>
              <w:rPr>
                <w:rFonts w:ascii="Arial" w:hAnsi="Arial" w:cs="Arial"/>
                <w:b/>
                <w:sz w:val="20"/>
                <w:szCs w:val="20"/>
                <w:lang w:val="fr-CH"/>
              </w:rPr>
            </w:pPr>
            <w:r w:rsidRPr="005E5973">
              <w:rPr>
                <w:rFonts w:ascii="Arial" w:hAnsi="Arial" w:cs="Arial"/>
                <w:b/>
                <w:sz w:val="20"/>
                <w:szCs w:val="20"/>
                <w:lang w:val="fr-CH"/>
              </w:rPr>
              <w:t>3.0</w:t>
            </w:r>
            <w:r w:rsidR="00CC3082" w:rsidRPr="005E5973">
              <w:rPr>
                <w:rFonts w:ascii="Arial" w:hAnsi="Arial" w:cs="Arial"/>
                <w:b/>
                <w:sz w:val="20"/>
                <w:szCs w:val="20"/>
                <w:lang w:val="fr-CH"/>
              </w:rPr>
              <w:t xml:space="preserve"> </w:t>
            </w:r>
            <w:r w:rsidR="00EC0E23" w:rsidRPr="005E5973">
              <w:rPr>
                <w:rFonts w:ascii="Arial" w:hAnsi="Arial" w:cs="Arial"/>
                <w:b/>
                <w:sz w:val="20"/>
                <w:szCs w:val="20"/>
                <w:lang w:val="fr-CH"/>
              </w:rPr>
              <w:t>%</w:t>
            </w:r>
          </w:p>
        </w:tc>
      </w:tr>
      <w:tr w:rsidR="00984D3B" w:rsidRPr="005E5973" w14:paraId="1A1A518B" w14:textId="77777777" w:rsidTr="00ED2B33">
        <w:tc>
          <w:tcPr>
            <w:tcW w:w="3652" w:type="dxa"/>
            <w:shd w:val="clear" w:color="auto" w:fill="auto"/>
            <w:vAlign w:val="bottom"/>
          </w:tcPr>
          <w:p w14:paraId="3DDEB9B0" w14:textId="02B1DA36" w:rsidR="00BC144A" w:rsidRPr="005E5973" w:rsidRDefault="002079BB" w:rsidP="00EC0E23">
            <w:pPr>
              <w:rPr>
                <w:rFonts w:ascii="Arial" w:hAnsi="Arial" w:cs="Arial"/>
                <w:sz w:val="20"/>
                <w:szCs w:val="20"/>
                <w:lang w:val="fr-CH"/>
              </w:rPr>
            </w:pPr>
            <w:r w:rsidRPr="005E5973">
              <w:rPr>
                <w:rFonts w:ascii="Arial" w:hAnsi="Arial" w:cs="Arial"/>
                <w:sz w:val="20"/>
                <w:szCs w:val="20"/>
                <w:lang w:val="fr-CH"/>
              </w:rPr>
              <w:t>Actions étranger</w:t>
            </w:r>
          </w:p>
          <w:p w14:paraId="24866244" w14:textId="00BA7F4A" w:rsidR="00BC144A" w:rsidRPr="005E5973" w:rsidRDefault="00252BCC" w:rsidP="00997FC2">
            <w:pPr>
              <w:rPr>
                <w:rFonts w:ascii="Arial" w:hAnsi="Arial" w:cs="Arial"/>
                <w:sz w:val="20"/>
                <w:szCs w:val="20"/>
                <w:lang w:val="fr-CH"/>
              </w:rPr>
            </w:pPr>
            <w:r w:rsidRPr="005E5973">
              <w:rPr>
                <w:rFonts w:ascii="Arial" w:hAnsi="Arial" w:cs="Arial"/>
                <w:sz w:val="20"/>
                <w:szCs w:val="20"/>
                <w:lang w:val="fr-CH"/>
              </w:rPr>
              <w:t>(incl. placements collectifs)</w:t>
            </w:r>
          </w:p>
        </w:tc>
        <w:tc>
          <w:tcPr>
            <w:tcW w:w="1443" w:type="dxa"/>
            <w:shd w:val="clear" w:color="auto" w:fill="auto"/>
            <w:vAlign w:val="center"/>
          </w:tcPr>
          <w:p w14:paraId="52748F90" w14:textId="1F32AC8C" w:rsidR="00BC144A" w:rsidRPr="005E5973" w:rsidRDefault="002C3742" w:rsidP="00984D3B">
            <w:pPr>
              <w:jc w:val="right"/>
              <w:rPr>
                <w:rFonts w:ascii="Arial" w:hAnsi="Arial" w:cs="Arial"/>
                <w:bCs/>
                <w:sz w:val="20"/>
                <w:szCs w:val="20"/>
                <w:lang w:val="fr-CH"/>
              </w:rPr>
            </w:pPr>
            <w:r w:rsidRPr="005E5973">
              <w:rPr>
                <w:rFonts w:ascii="Arial" w:hAnsi="Arial" w:cs="Arial"/>
                <w:bCs/>
                <w:sz w:val="20"/>
                <w:szCs w:val="20"/>
                <w:lang w:val="fr-CH"/>
              </w:rPr>
              <w:t>10</w:t>
            </w:r>
            <w:r w:rsidR="00CC3082" w:rsidRPr="005E5973">
              <w:rPr>
                <w:rFonts w:ascii="Arial" w:hAnsi="Arial" w:cs="Arial"/>
                <w:bCs/>
                <w:sz w:val="20"/>
                <w:szCs w:val="20"/>
                <w:lang w:val="fr-CH"/>
              </w:rPr>
              <w:t xml:space="preserve"> </w:t>
            </w:r>
            <w:r w:rsidR="00BC144A" w:rsidRPr="005E5973">
              <w:rPr>
                <w:rFonts w:ascii="Arial" w:hAnsi="Arial" w:cs="Arial"/>
                <w:bCs/>
                <w:sz w:val="20"/>
                <w:szCs w:val="20"/>
                <w:lang w:val="fr-CH"/>
              </w:rPr>
              <w:t>%</w:t>
            </w:r>
          </w:p>
        </w:tc>
        <w:tc>
          <w:tcPr>
            <w:tcW w:w="1418" w:type="dxa"/>
            <w:shd w:val="clear" w:color="auto" w:fill="auto"/>
            <w:vAlign w:val="center"/>
          </w:tcPr>
          <w:p w14:paraId="5CB45E61" w14:textId="2D74683C" w:rsidR="00BC144A" w:rsidRPr="005E5973" w:rsidRDefault="00BC144A" w:rsidP="00984D3B">
            <w:pPr>
              <w:jc w:val="right"/>
              <w:rPr>
                <w:rFonts w:ascii="Arial" w:hAnsi="Arial" w:cs="Arial"/>
                <w:sz w:val="20"/>
                <w:szCs w:val="20"/>
                <w:lang w:val="fr-CH"/>
              </w:rPr>
            </w:pPr>
            <w:r w:rsidRPr="005E5973">
              <w:rPr>
                <w:rFonts w:ascii="Arial" w:hAnsi="Arial" w:cs="Arial"/>
                <w:sz w:val="20"/>
                <w:szCs w:val="20"/>
                <w:lang w:val="fr-CH"/>
              </w:rPr>
              <w:t>25</w:t>
            </w:r>
            <w:r w:rsidR="00CC3082" w:rsidRPr="005E5973">
              <w:rPr>
                <w:rFonts w:ascii="Arial" w:hAnsi="Arial" w:cs="Arial"/>
                <w:sz w:val="20"/>
                <w:szCs w:val="20"/>
                <w:lang w:val="fr-CH"/>
              </w:rPr>
              <w:t xml:space="preserve"> </w:t>
            </w:r>
            <w:r w:rsidRPr="005E5973">
              <w:rPr>
                <w:rFonts w:ascii="Arial" w:hAnsi="Arial" w:cs="Arial"/>
                <w:sz w:val="20"/>
                <w:szCs w:val="20"/>
                <w:lang w:val="fr-CH"/>
              </w:rPr>
              <w:t>%</w:t>
            </w:r>
          </w:p>
        </w:tc>
        <w:tc>
          <w:tcPr>
            <w:tcW w:w="1402" w:type="dxa"/>
            <w:shd w:val="clear" w:color="auto" w:fill="auto"/>
            <w:vAlign w:val="center"/>
          </w:tcPr>
          <w:p w14:paraId="0E958BA1" w14:textId="3EE8EA82" w:rsidR="00BC144A" w:rsidRPr="005E5973" w:rsidRDefault="002C3742" w:rsidP="00984D3B">
            <w:pPr>
              <w:jc w:val="right"/>
              <w:rPr>
                <w:rFonts w:ascii="Arial" w:hAnsi="Arial" w:cs="Arial"/>
                <w:b/>
                <w:sz w:val="20"/>
                <w:szCs w:val="20"/>
                <w:lang w:val="fr-CH"/>
              </w:rPr>
            </w:pPr>
            <w:r w:rsidRPr="005E5973">
              <w:rPr>
                <w:rFonts w:ascii="Arial" w:hAnsi="Arial" w:cs="Arial"/>
                <w:b/>
                <w:sz w:val="20"/>
                <w:szCs w:val="20"/>
                <w:lang w:val="fr-CH"/>
              </w:rPr>
              <w:t>2.5</w:t>
            </w:r>
            <w:r w:rsidR="00CC3082" w:rsidRPr="005E5973">
              <w:rPr>
                <w:rFonts w:ascii="Arial" w:hAnsi="Arial" w:cs="Arial"/>
                <w:b/>
                <w:sz w:val="20"/>
                <w:szCs w:val="20"/>
                <w:lang w:val="fr-CH"/>
              </w:rPr>
              <w:t xml:space="preserve"> </w:t>
            </w:r>
            <w:r w:rsidR="00BC144A" w:rsidRPr="005E5973">
              <w:rPr>
                <w:rFonts w:ascii="Arial" w:hAnsi="Arial" w:cs="Arial"/>
                <w:b/>
                <w:sz w:val="20"/>
                <w:szCs w:val="20"/>
                <w:lang w:val="fr-CH"/>
              </w:rPr>
              <w:t>%</w:t>
            </w:r>
          </w:p>
        </w:tc>
      </w:tr>
      <w:tr w:rsidR="00984D3B" w:rsidRPr="005E5973" w14:paraId="6E2F2FD6" w14:textId="77777777" w:rsidTr="00ED2B33">
        <w:tc>
          <w:tcPr>
            <w:tcW w:w="3652" w:type="dxa"/>
            <w:shd w:val="clear" w:color="auto" w:fill="auto"/>
            <w:vAlign w:val="bottom"/>
          </w:tcPr>
          <w:p w14:paraId="7EB701DB" w14:textId="7F924115" w:rsidR="00EC0E23" w:rsidRPr="005E5973" w:rsidRDefault="002079BB" w:rsidP="00EC0E23">
            <w:pPr>
              <w:rPr>
                <w:rFonts w:ascii="Arial" w:hAnsi="Arial" w:cs="Arial"/>
                <w:color w:val="FF0000"/>
                <w:sz w:val="20"/>
                <w:szCs w:val="20"/>
                <w:lang w:val="fr-CH"/>
              </w:rPr>
            </w:pPr>
            <w:r w:rsidRPr="005E5973">
              <w:rPr>
                <w:rFonts w:ascii="Arial" w:hAnsi="Arial" w:cs="Arial"/>
                <w:sz w:val="20"/>
                <w:szCs w:val="20"/>
                <w:lang w:val="fr-CH"/>
              </w:rPr>
              <w:t>Fonds de microfinance</w:t>
            </w:r>
          </w:p>
          <w:p w14:paraId="4DCF2FE2" w14:textId="77777777" w:rsidR="00EC0E23" w:rsidRPr="005E5973" w:rsidRDefault="00EC0E23" w:rsidP="00EC0E23">
            <w:pPr>
              <w:rPr>
                <w:rFonts w:ascii="Arial" w:hAnsi="Arial" w:cs="Arial"/>
                <w:sz w:val="20"/>
                <w:szCs w:val="20"/>
                <w:lang w:val="fr-CH"/>
              </w:rPr>
            </w:pPr>
          </w:p>
        </w:tc>
        <w:tc>
          <w:tcPr>
            <w:tcW w:w="1443" w:type="dxa"/>
            <w:shd w:val="clear" w:color="auto" w:fill="auto"/>
            <w:vAlign w:val="center"/>
          </w:tcPr>
          <w:p w14:paraId="206CDEB9" w14:textId="76122C35" w:rsidR="00EC0E23" w:rsidRPr="005E5973" w:rsidRDefault="00EB5F2B" w:rsidP="00984D3B">
            <w:pPr>
              <w:jc w:val="right"/>
              <w:rPr>
                <w:rFonts w:ascii="Arial" w:hAnsi="Arial" w:cs="Arial"/>
                <w:bCs/>
                <w:sz w:val="20"/>
                <w:szCs w:val="20"/>
                <w:lang w:val="fr-CH"/>
              </w:rPr>
            </w:pPr>
            <w:r w:rsidRPr="005E5973">
              <w:rPr>
                <w:rFonts w:ascii="Arial" w:hAnsi="Arial" w:cs="Arial"/>
                <w:bCs/>
                <w:sz w:val="20"/>
                <w:szCs w:val="20"/>
                <w:lang w:val="fr-CH"/>
              </w:rPr>
              <w:t>5</w:t>
            </w:r>
            <w:r w:rsidR="00CC3082" w:rsidRPr="005E5973">
              <w:rPr>
                <w:rFonts w:ascii="Arial" w:hAnsi="Arial" w:cs="Arial"/>
                <w:bCs/>
                <w:sz w:val="20"/>
                <w:szCs w:val="20"/>
                <w:lang w:val="fr-CH"/>
              </w:rPr>
              <w:t xml:space="preserve"> </w:t>
            </w:r>
            <w:r w:rsidR="00EC0E23" w:rsidRPr="005E5973">
              <w:rPr>
                <w:rFonts w:ascii="Arial" w:hAnsi="Arial" w:cs="Arial"/>
                <w:bCs/>
                <w:sz w:val="20"/>
                <w:szCs w:val="20"/>
                <w:lang w:val="fr-CH"/>
              </w:rPr>
              <w:t>%</w:t>
            </w:r>
          </w:p>
        </w:tc>
        <w:tc>
          <w:tcPr>
            <w:tcW w:w="1418" w:type="dxa"/>
            <w:shd w:val="clear" w:color="auto" w:fill="auto"/>
            <w:vAlign w:val="center"/>
          </w:tcPr>
          <w:p w14:paraId="0BA92F16" w14:textId="65CF9991" w:rsidR="00EC0E23" w:rsidRPr="005E5973" w:rsidRDefault="00EC0E23" w:rsidP="00984D3B">
            <w:pPr>
              <w:jc w:val="right"/>
              <w:rPr>
                <w:rFonts w:ascii="Arial" w:hAnsi="Arial" w:cs="Arial"/>
                <w:sz w:val="20"/>
                <w:szCs w:val="20"/>
                <w:lang w:val="fr-CH"/>
              </w:rPr>
            </w:pPr>
            <w:r w:rsidRPr="005E5973">
              <w:rPr>
                <w:rFonts w:ascii="Arial" w:hAnsi="Arial" w:cs="Arial"/>
                <w:sz w:val="20"/>
                <w:szCs w:val="20"/>
                <w:lang w:val="fr-CH"/>
              </w:rPr>
              <w:t>10</w:t>
            </w:r>
            <w:r w:rsidR="00CC3082" w:rsidRPr="005E5973">
              <w:rPr>
                <w:rFonts w:ascii="Arial" w:hAnsi="Arial" w:cs="Arial"/>
                <w:sz w:val="20"/>
                <w:szCs w:val="20"/>
                <w:lang w:val="fr-CH"/>
              </w:rPr>
              <w:t xml:space="preserve"> </w:t>
            </w:r>
            <w:r w:rsidRPr="005E5973">
              <w:rPr>
                <w:rFonts w:ascii="Arial" w:hAnsi="Arial" w:cs="Arial"/>
                <w:sz w:val="20"/>
                <w:szCs w:val="20"/>
                <w:lang w:val="fr-CH"/>
              </w:rPr>
              <w:t>%</w:t>
            </w:r>
          </w:p>
        </w:tc>
        <w:tc>
          <w:tcPr>
            <w:tcW w:w="1402" w:type="dxa"/>
            <w:shd w:val="clear" w:color="auto" w:fill="auto"/>
            <w:vAlign w:val="center"/>
          </w:tcPr>
          <w:p w14:paraId="7480043B" w14:textId="08796335" w:rsidR="00EC0E23" w:rsidRPr="005E5973" w:rsidRDefault="00EC0E23" w:rsidP="00984D3B">
            <w:pPr>
              <w:jc w:val="right"/>
              <w:rPr>
                <w:rFonts w:ascii="Arial" w:hAnsi="Arial" w:cs="Arial"/>
                <w:b/>
                <w:sz w:val="20"/>
                <w:szCs w:val="20"/>
                <w:lang w:val="fr-CH"/>
              </w:rPr>
            </w:pPr>
            <w:r w:rsidRPr="005E5973">
              <w:rPr>
                <w:rFonts w:ascii="Arial" w:hAnsi="Arial" w:cs="Arial"/>
                <w:b/>
                <w:sz w:val="20"/>
                <w:szCs w:val="20"/>
                <w:lang w:val="fr-CH"/>
              </w:rPr>
              <w:t>0.</w:t>
            </w:r>
            <w:r w:rsidR="00EB5F2B" w:rsidRPr="005E5973">
              <w:rPr>
                <w:rFonts w:ascii="Arial" w:hAnsi="Arial" w:cs="Arial"/>
                <w:b/>
                <w:sz w:val="20"/>
                <w:szCs w:val="20"/>
                <w:lang w:val="fr-CH"/>
              </w:rPr>
              <w:t>5</w:t>
            </w:r>
            <w:r w:rsidR="00CC3082" w:rsidRPr="005E5973">
              <w:rPr>
                <w:rFonts w:ascii="Arial" w:hAnsi="Arial" w:cs="Arial"/>
                <w:b/>
                <w:sz w:val="20"/>
                <w:szCs w:val="20"/>
                <w:lang w:val="fr-CH"/>
              </w:rPr>
              <w:t xml:space="preserve"> </w:t>
            </w:r>
            <w:r w:rsidRPr="005E5973">
              <w:rPr>
                <w:rFonts w:ascii="Arial" w:hAnsi="Arial" w:cs="Arial"/>
                <w:b/>
                <w:sz w:val="20"/>
                <w:szCs w:val="20"/>
                <w:lang w:val="fr-CH"/>
              </w:rPr>
              <w:t>%</w:t>
            </w:r>
          </w:p>
        </w:tc>
      </w:tr>
      <w:tr w:rsidR="00984D3B" w:rsidRPr="005E5973" w14:paraId="7D9408D1" w14:textId="77777777" w:rsidTr="00ED2B33">
        <w:tc>
          <w:tcPr>
            <w:tcW w:w="3652" w:type="dxa"/>
            <w:shd w:val="clear" w:color="auto" w:fill="auto"/>
            <w:vAlign w:val="bottom"/>
          </w:tcPr>
          <w:p w14:paraId="234B0DDE" w14:textId="4C2CB434" w:rsidR="00EC0E23" w:rsidRPr="005E5973" w:rsidRDefault="002079BB" w:rsidP="00997FC2">
            <w:pPr>
              <w:rPr>
                <w:rFonts w:ascii="Arial" w:hAnsi="Arial" w:cs="Arial"/>
                <w:sz w:val="20"/>
                <w:szCs w:val="20"/>
                <w:lang w:val="fr-CH"/>
              </w:rPr>
            </w:pPr>
            <w:r w:rsidRPr="005E5973">
              <w:rPr>
                <w:rFonts w:ascii="Arial" w:hAnsi="Arial" w:cs="Arial"/>
                <w:sz w:val="20"/>
                <w:szCs w:val="20"/>
                <w:lang w:val="fr-CH"/>
              </w:rPr>
              <w:t>Immobilier Suisse (fonds et sociétés immobilières)</w:t>
            </w:r>
            <w:r w:rsidR="00EC0E23" w:rsidRPr="005E5973">
              <w:rPr>
                <w:rFonts w:ascii="Arial" w:hAnsi="Arial" w:cs="Arial"/>
                <w:sz w:val="20"/>
                <w:szCs w:val="20"/>
                <w:lang w:val="fr-CH"/>
              </w:rPr>
              <w:t xml:space="preserve"> </w:t>
            </w:r>
          </w:p>
        </w:tc>
        <w:tc>
          <w:tcPr>
            <w:tcW w:w="1443" w:type="dxa"/>
            <w:shd w:val="clear" w:color="auto" w:fill="auto"/>
            <w:vAlign w:val="center"/>
          </w:tcPr>
          <w:p w14:paraId="115FD17F" w14:textId="3236D3AF" w:rsidR="00EC0E23" w:rsidRPr="005E5973" w:rsidRDefault="00CC3082" w:rsidP="00984D3B">
            <w:pPr>
              <w:jc w:val="right"/>
              <w:rPr>
                <w:rFonts w:ascii="Arial" w:hAnsi="Arial" w:cs="Arial"/>
                <w:bCs/>
                <w:sz w:val="20"/>
                <w:szCs w:val="20"/>
                <w:lang w:val="fr-CH"/>
              </w:rPr>
            </w:pPr>
            <w:r w:rsidRPr="005E5973">
              <w:rPr>
                <w:rFonts w:ascii="Arial" w:hAnsi="Arial" w:cs="Arial"/>
                <w:bCs/>
                <w:sz w:val="20"/>
                <w:szCs w:val="20"/>
                <w:lang w:val="fr-CH"/>
              </w:rPr>
              <w:t xml:space="preserve">5 </w:t>
            </w:r>
            <w:r w:rsidR="00EC0E23" w:rsidRPr="005E5973">
              <w:rPr>
                <w:rFonts w:ascii="Arial" w:hAnsi="Arial" w:cs="Arial"/>
                <w:bCs/>
                <w:sz w:val="20"/>
                <w:szCs w:val="20"/>
                <w:lang w:val="fr-CH"/>
              </w:rPr>
              <w:t>%</w:t>
            </w:r>
          </w:p>
        </w:tc>
        <w:tc>
          <w:tcPr>
            <w:tcW w:w="1418" w:type="dxa"/>
            <w:shd w:val="clear" w:color="auto" w:fill="auto"/>
            <w:vAlign w:val="center"/>
          </w:tcPr>
          <w:p w14:paraId="23F4B26E" w14:textId="68432C5C" w:rsidR="00EC0E23" w:rsidRPr="005E5973" w:rsidRDefault="00EC0E23" w:rsidP="00984D3B">
            <w:pPr>
              <w:jc w:val="right"/>
              <w:rPr>
                <w:rFonts w:ascii="Arial" w:hAnsi="Arial" w:cs="Arial"/>
                <w:sz w:val="20"/>
                <w:szCs w:val="20"/>
                <w:lang w:val="fr-CH"/>
              </w:rPr>
            </w:pPr>
            <w:r w:rsidRPr="005E5973">
              <w:rPr>
                <w:rFonts w:ascii="Arial" w:hAnsi="Arial" w:cs="Arial"/>
                <w:sz w:val="20"/>
                <w:szCs w:val="20"/>
                <w:lang w:val="fr-CH"/>
              </w:rPr>
              <w:t>10</w:t>
            </w:r>
            <w:r w:rsidR="00CC3082" w:rsidRPr="005E5973">
              <w:rPr>
                <w:rFonts w:ascii="Arial" w:hAnsi="Arial" w:cs="Arial"/>
                <w:sz w:val="20"/>
                <w:szCs w:val="20"/>
                <w:lang w:val="fr-CH"/>
              </w:rPr>
              <w:t xml:space="preserve"> </w:t>
            </w:r>
            <w:r w:rsidRPr="005E5973">
              <w:rPr>
                <w:rFonts w:ascii="Arial" w:hAnsi="Arial" w:cs="Arial"/>
                <w:sz w:val="20"/>
                <w:szCs w:val="20"/>
                <w:lang w:val="fr-CH"/>
              </w:rPr>
              <w:t>%</w:t>
            </w:r>
          </w:p>
        </w:tc>
        <w:tc>
          <w:tcPr>
            <w:tcW w:w="1402" w:type="dxa"/>
            <w:shd w:val="clear" w:color="auto" w:fill="auto"/>
            <w:vAlign w:val="center"/>
          </w:tcPr>
          <w:p w14:paraId="7D6DEFC3" w14:textId="259F7883" w:rsidR="00EC0E23" w:rsidRPr="005E5973" w:rsidRDefault="00CC3082" w:rsidP="00984D3B">
            <w:pPr>
              <w:jc w:val="right"/>
              <w:rPr>
                <w:rFonts w:ascii="Arial" w:hAnsi="Arial" w:cs="Arial"/>
                <w:b/>
                <w:sz w:val="20"/>
                <w:szCs w:val="20"/>
                <w:lang w:val="fr-CH"/>
              </w:rPr>
            </w:pPr>
            <w:r w:rsidRPr="005E5973">
              <w:rPr>
                <w:rFonts w:ascii="Arial" w:hAnsi="Arial" w:cs="Arial"/>
                <w:b/>
                <w:sz w:val="20"/>
                <w:szCs w:val="20"/>
                <w:lang w:val="fr-CH"/>
              </w:rPr>
              <w:t xml:space="preserve">0.5 </w:t>
            </w:r>
            <w:r w:rsidR="00EC0E23" w:rsidRPr="005E5973">
              <w:rPr>
                <w:rFonts w:ascii="Arial" w:hAnsi="Arial" w:cs="Arial"/>
                <w:b/>
                <w:sz w:val="20"/>
                <w:szCs w:val="20"/>
                <w:lang w:val="fr-CH"/>
              </w:rPr>
              <w:t>%</w:t>
            </w:r>
          </w:p>
        </w:tc>
      </w:tr>
      <w:tr w:rsidR="00984D3B" w:rsidRPr="005E5973" w14:paraId="4C10C685" w14:textId="77777777" w:rsidTr="00ED2B33">
        <w:tc>
          <w:tcPr>
            <w:tcW w:w="3652" w:type="dxa"/>
            <w:shd w:val="clear" w:color="auto" w:fill="auto"/>
            <w:vAlign w:val="bottom"/>
          </w:tcPr>
          <w:p w14:paraId="3323393B" w14:textId="77777777" w:rsidR="00EC0E23" w:rsidRPr="005E5973" w:rsidRDefault="00EC0E23" w:rsidP="00EC0E23">
            <w:pPr>
              <w:rPr>
                <w:rFonts w:ascii="Arial" w:hAnsi="Arial" w:cs="Arial"/>
                <w:b/>
                <w:bCs/>
                <w:sz w:val="20"/>
                <w:szCs w:val="20"/>
                <w:lang w:val="fr-CH"/>
              </w:rPr>
            </w:pPr>
          </w:p>
          <w:p w14:paraId="69575749" w14:textId="1BDB982E" w:rsidR="00EC0E23" w:rsidRPr="005E5973" w:rsidRDefault="002079BB" w:rsidP="00EC0E23">
            <w:pPr>
              <w:rPr>
                <w:rFonts w:ascii="Arial" w:hAnsi="Arial" w:cs="Arial"/>
                <w:b/>
                <w:bCs/>
                <w:sz w:val="20"/>
                <w:szCs w:val="20"/>
                <w:lang w:val="fr-CH"/>
              </w:rPr>
            </w:pPr>
            <w:r w:rsidRPr="005E5973">
              <w:rPr>
                <w:rFonts w:ascii="Arial" w:hAnsi="Arial" w:cs="Arial"/>
                <w:b/>
                <w:bCs/>
                <w:sz w:val="20"/>
                <w:szCs w:val="20"/>
                <w:lang w:val="fr-CH"/>
              </w:rPr>
              <w:t>TOTAL</w:t>
            </w:r>
          </w:p>
          <w:p w14:paraId="56BC76F7" w14:textId="77777777" w:rsidR="00EC0E23" w:rsidRPr="005E5973" w:rsidRDefault="00EC0E23" w:rsidP="00EC0E23">
            <w:pPr>
              <w:rPr>
                <w:rFonts w:ascii="Arial" w:hAnsi="Arial" w:cs="Arial"/>
                <w:b/>
                <w:bCs/>
                <w:sz w:val="20"/>
                <w:szCs w:val="20"/>
                <w:lang w:val="fr-CH"/>
              </w:rPr>
            </w:pPr>
          </w:p>
        </w:tc>
        <w:tc>
          <w:tcPr>
            <w:tcW w:w="1443" w:type="dxa"/>
            <w:shd w:val="clear" w:color="auto" w:fill="auto"/>
            <w:vAlign w:val="center"/>
          </w:tcPr>
          <w:p w14:paraId="172CCDB4" w14:textId="7C639FBC" w:rsidR="00EC0E23" w:rsidRPr="005E5973" w:rsidRDefault="00EC0E23" w:rsidP="00984D3B">
            <w:pPr>
              <w:jc w:val="right"/>
              <w:rPr>
                <w:rFonts w:ascii="Arial" w:hAnsi="Arial" w:cs="Arial"/>
                <w:bCs/>
                <w:sz w:val="20"/>
                <w:szCs w:val="20"/>
                <w:lang w:val="fr-CH"/>
              </w:rPr>
            </w:pPr>
            <w:r w:rsidRPr="005E5973">
              <w:rPr>
                <w:rFonts w:ascii="Arial" w:hAnsi="Arial" w:cs="Arial"/>
                <w:bCs/>
                <w:sz w:val="20"/>
                <w:szCs w:val="20"/>
                <w:lang w:val="fr-CH"/>
              </w:rPr>
              <w:t>100</w:t>
            </w:r>
            <w:r w:rsidR="00CC3082" w:rsidRPr="005E5973">
              <w:rPr>
                <w:rFonts w:ascii="Arial" w:hAnsi="Arial" w:cs="Arial"/>
                <w:bCs/>
                <w:sz w:val="20"/>
                <w:szCs w:val="20"/>
                <w:lang w:val="fr-CH"/>
              </w:rPr>
              <w:t xml:space="preserve"> </w:t>
            </w:r>
            <w:r w:rsidRPr="005E5973">
              <w:rPr>
                <w:rFonts w:ascii="Arial" w:hAnsi="Arial" w:cs="Arial"/>
                <w:bCs/>
                <w:sz w:val="20"/>
                <w:szCs w:val="20"/>
                <w:lang w:val="fr-CH"/>
              </w:rPr>
              <w:t>%</w:t>
            </w:r>
          </w:p>
        </w:tc>
        <w:tc>
          <w:tcPr>
            <w:tcW w:w="1418" w:type="dxa"/>
            <w:shd w:val="clear" w:color="auto" w:fill="auto"/>
            <w:vAlign w:val="center"/>
          </w:tcPr>
          <w:p w14:paraId="2CDC426A" w14:textId="77777777" w:rsidR="00EC0E23" w:rsidRPr="005E5973" w:rsidRDefault="00EC0E23" w:rsidP="00984D3B">
            <w:pPr>
              <w:jc w:val="right"/>
              <w:rPr>
                <w:rFonts w:ascii="Arial" w:hAnsi="Arial" w:cs="Arial"/>
                <w:sz w:val="20"/>
                <w:szCs w:val="20"/>
                <w:lang w:val="fr-CH"/>
              </w:rPr>
            </w:pPr>
          </w:p>
        </w:tc>
        <w:tc>
          <w:tcPr>
            <w:tcW w:w="1402" w:type="dxa"/>
            <w:shd w:val="clear" w:color="auto" w:fill="auto"/>
            <w:vAlign w:val="center"/>
          </w:tcPr>
          <w:p w14:paraId="18ECB60D" w14:textId="14F3F439" w:rsidR="00EC0E23" w:rsidRPr="005E5973" w:rsidRDefault="00D122C7" w:rsidP="00984D3B">
            <w:pPr>
              <w:jc w:val="right"/>
              <w:rPr>
                <w:rFonts w:ascii="Arial" w:hAnsi="Arial" w:cs="Arial"/>
                <w:b/>
                <w:sz w:val="20"/>
                <w:szCs w:val="20"/>
                <w:lang w:val="fr-CH"/>
              </w:rPr>
            </w:pPr>
            <w:r w:rsidRPr="005E5973">
              <w:rPr>
                <w:rFonts w:ascii="Arial" w:hAnsi="Arial" w:cs="Arial"/>
                <w:b/>
                <w:sz w:val="20"/>
                <w:szCs w:val="20"/>
                <w:lang w:val="fr-CH"/>
              </w:rPr>
              <w:t>1</w:t>
            </w:r>
            <w:r w:rsidR="002C3742" w:rsidRPr="005E5973">
              <w:rPr>
                <w:rFonts w:ascii="Arial" w:hAnsi="Arial" w:cs="Arial"/>
                <w:b/>
                <w:sz w:val="20"/>
                <w:szCs w:val="20"/>
                <w:lang w:val="fr-CH"/>
              </w:rPr>
              <w:t>1.</w:t>
            </w:r>
            <w:r w:rsidR="00B56861" w:rsidRPr="005E5973">
              <w:rPr>
                <w:rFonts w:ascii="Arial" w:hAnsi="Arial" w:cs="Arial"/>
                <w:b/>
                <w:sz w:val="20"/>
                <w:szCs w:val="20"/>
                <w:lang w:val="fr-CH"/>
              </w:rPr>
              <w:t>1</w:t>
            </w:r>
            <w:r w:rsidR="00CC3082" w:rsidRPr="005E5973">
              <w:rPr>
                <w:rFonts w:ascii="Arial" w:hAnsi="Arial" w:cs="Arial"/>
                <w:b/>
                <w:sz w:val="20"/>
                <w:szCs w:val="20"/>
                <w:lang w:val="fr-CH"/>
              </w:rPr>
              <w:t xml:space="preserve"> </w:t>
            </w:r>
            <w:r w:rsidRPr="005E5973">
              <w:rPr>
                <w:rFonts w:ascii="Arial" w:hAnsi="Arial" w:cs="Arial"/>
                <w:b/>
                <w:sz w:val="20"/>
                <w:szCs w:val="20"/>
                <w:lang w:val="fr-CH"/>
              </w:rPr>
              <w:t>%</w:t>
            </w:r>
          </w:p>
        </w:tc>
      </w:tr>
      <w:tr w:rsidR="00984D3B" w:rsidRPr="005E5973" w14:paraId="7BCEC6FC" w14:textId="77777777" w:rsidTr="00ED2B33">
        <w:tc>
          <w:tcPr>
            <w:tcW w:w="3652" w:type="dxa"/>
            <w:tcBorders>
              <w:top w:val="single" w:sz="4" w:space="0" w:color="auto"/>
              <w:left w:val="single" w:sz="4" w:space="0" w:color="auto"/>
              <w:bottom w:val="single" w:sz="4" w:space="0" w:color="auto"/>
              <w:right w:val="single" w:sz="4" w:space="0" w:color="auto"/>
            </w:tcBorders>
            <w:shd w:val="clear" w:color="auto" w:fill="auto"/>
            <w:vAlign w:val="bottom"/>
          </w:tcPr>
          <w:p w14:paraId="3A9CC631" w14:textId="77777777" w:rsidR="00EC0E23" w:rsidRPr="005E5973" w:rsidRDefault="00EC0E23" w:rsidP="00EC0E23">
            <w:pPr>
              <w:rPr>
                <w:rFonts w:ascii="Arial" w:hAnsi="Arial" w:cs="Arial"/>
                <w:b/>
                <w:bCs/>
                <w:sz w:val="20"/>
                <w:szCs w:val="20"/>
                <w:lang w:val="fr-CH"/>
              </w:rPr>
            </w:pPr>
          </w:p>
          <w:p w14:paraId="2B6C1287" w14:textId="57E5F989" w:rsidR="00EC0E23" w:rsidRPr="005E5973" w:rsidRDefault="002079BB" w:rsidP="00EC0E23">
            <w:pPr>
              <w:rPr>
                <w:rFonts w:ascii="Arial" w:hAnsi="Arial" w:cs="Arial"/>
                <w:b/>
                <w:bCs/>
                <w:sz w:val="20"/>
                <w:szCs w:val="20"/>
                <w:lang w:val="fr-CH"/>
              </w:rPr>
            </w:pPr>
            <w:r w:rsidRPr="005E5973">
              <w:rPr>
                <w:rFonts w:ascii="Arial" w:hAnsi="Arial" w:cs="Arial"/>
                <w:b/>
                <w:bCs/>
                <w:sz w:val="20"/>
                <w:szCs w:val="20"/>
                <w:lang w:val="fr-CH"/>
              </w:rPr>
              <w:t xml:space="preserve">Actifs totaux en </w:t>
            </w:r>
            <w:proofErr w:type="spellStart"/>
            <w:r w:rsidRPr="005E5973">
              <w:rPr>
                <w:rFonts w:ascii="Arial" w:hAnsi="Arial" w:cs="Arial"/>
                <w:b/>
                <w:bCs/>
                <w:sz w:val="20"/>
                <w:szCs w:val="20"/>
                <w:lang w:val="fr-CH"/>
              </w:rPr>
              <w:t>mio</w:t>
            </w:r>
            <w:proofErr w:type="spellEnd"/>
            <w:r w:rsidRPr="005E5973">
              <w:rPr>
                <w:rFonts w:ascii="Arial" w:hAnsi="Arial" w:cs="Arial"/>
                <w:b/>
                <w:bCs/>
                <w:sz w:val="20"/>
                <w:szCs w:val="20"/>
                <w:lang w:val="fr-CH"/>
              </w:rPr>
              <w:t>. CHF</w:t>
            </w:r>
          </w:p>
          <w:p w14:paraId="6C0F9EE1" w14:textId="77777777" w:rsidR="00EC0E23" w:rsidRPr="005E5973" w:rsidRDefault="00EC0E23" w:rsidP="00EC0E23">
            <w:pPr>
              <w:rPr>
                <w:rFonts w:ascii="Arial" w:hAnsi="Arial" w:cs="Arial"/>
                <w:b/>
                <w:bCs/>
                <w:sz w:val="20"/>
                <w:szCs w:val="20"/>
                <w:lang w:val="fr-CH"/>
              </w:rPr>
            </w:pP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14:paraId="2E4F15C6" w14:textId="77777777" w:rsidR="00EC0E23" w:rsidRPr="005E5973" w:rsidRDefault="002C3742" w:rsidP="00984D3B">
            <w:pPr>
              <w:jc w:val="right"/>
              <w:rPr>
                <w:rFonts w:ascii="Arial" w:hAnsi="Arial" w:cs="Arial"/>
                <w:bCs/>
                <w:sz w:val="20"/>
                <w:szCs w:val="20"/>
                <w:lang w:val="fr-CH"/>
              </w:rPr>
            </w:pPr>
            <w:r w:rsidRPr="005E5973">
              <w:rPr>
                <w:rFonts w:ascii="Arial" w:hAnsi="Arial" w:cs="Arial"/>
                <w:bCs/>
                <w:sz w:val="20"/>
                <w:szCs w:val="20"/>
                <w:lang w:val="fr-CH"/>
              </w:rPr>
              <w:t>3</w:t>
            </w:r>
            <w:r w:rsidR="007C3D70" w:rsidRPr="005E5973">
              <w:rPr>
                <w:rFonts w:ascii="Arial" w:hAnsi="Arial" w:cs="Arial"/>
                <w:bCs/>
                <w:sz w:val="20"/>
                <w:szCs w:val="20"/>
                <w:lang w:val="fr-CH"/>
              </w:rPr>
              <w:t>‘</w:t>
            </w:r>
            <w:r w:rsidRPr="005E5973">
              <w:rPr>
                <w:rFonts w:ascii="Arial" w:hAnsi="Arial" w:cs="Arial"/>
                <w:bCs/>
                <w:sz w:val="20"/>
                <w:szCs w:val="20"/>
                <w:lang w:val="fr-CH"/>
              </w:rPr>
              <w:t>0</w:t>
            </w:r>
            <w:r w:rsidR="007C3D70" w:rsidRPr="005E5973">
              <w:rPr>
                <w:rFonts w:ascii="Arial" w:hAnsi="Arial" w:cs="Arial"/>
                <w:bCs/>
                <w:sz w:val="20"/>
                <w:szCs w:val="20"/>
                <w:lang w:val="fr-CH"/>
              </w:rPr>
              <w:t>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032678" w14:textId="77777777" w:rsidR="00EC0E23" w:rsidRPr="005E5973" w:rsidRDefault="00EC0E23" w:rsidP="00984D3B">
            <w:pPr>
              <w:jc w:val="right"/>
              <w:rPr>
                <w:rFonts w:ascii="Arial" w:hAnsi="Arial" w:cs="Arial"/>
                <w:sz w:val="20"/>
                <w:szCs w:val="20"/>
                <w:lang w:val="fr-CH"/>
              </w:rPr>
            </w:pP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32E7A5C2" w14:textId="77777777" w:rsidR="00EC0E23" w:rsidRPr="005E5973" w:rsidRDefault="002C3742" w:rsidP="00984D3B">
            <w:pPr>
              <w:jc w:val="right"/>
              <w:rPr>
                <w:rFonts w:ascii="Arial" w:hAnsi="Arial" w:cs="Arial"/>
                <w:b/>
                <w:sz w:val="20"/>
                <w:szCs w:val="20"/>
                <w:lang w:val="fr-CH"/>
              </w:rPr>
            </w:pPr>
            <w:r w:rsidRPr="005E5973">
              <w:rPr>
                <w:rFonts w:ascii="Arial" w:hAnsi="Arial" w:cs="Arial"/>
                <w:b/>
                <w:sz w:val="20"/>
                <w:szCs w:val="20"/>
                <w:lang w:val="fr-CH"/>
              </w:rPr>
              <w:t>33</w:t>
            </w:r>
            <w:r w:rsidR="00B56861" w:rsidRPr="005E5973">
              <w:rPr>
                <w:rFonts w:ascii="Arial" w:hAnsi="Arial" w:cs="Arial"/>
                <w:b/>
                <w:sz w:val="20"/>
                <w:szCs w:val="20"/>
                <w:lang w:val="fr-CH"/>
              </w:rPr>
              <w:t>3</w:t>
            </w:r>
            <w:r w:rsidR="00D122C7" w:rsidRPr="005E5973">
              <w:rPr>
                <w:rFonts w:ascii="Arial" w:hAnsi="Arial" w:cs="Arial"/>
                <w:b/>
                <w:sz w:val="20"/>
                <w:szCs w:val="20"/>
                <w:lang w:val="fr-CH"/>
              </w:rPr>
              <w:t>‘</w:t>
            </w:r>
            <w:r w:rsidRPr="005E5973">
              <w:rPr>
                <w:rFonts w:ascii="Arial" w:hAnsi="Arial" w:cs="Arial"/>
                <w:b/>
                <w:sz w:val="20"/>
                <w:szCs w:val="20"/>
                <w:lang w:val="fr-CH"/>
              </w:rPr>
              <w:t>0</w:t>
            </w:r>
            <w:r w:rsidR="00D122C7" w:rsidRPr="005E5973">
              <w:rPr>
                <w:rFonts w:ascii="Arial" w:hAnsi="Arial" w:cs="Arial"/>
                <w:b/>
                <w:sz w:val="20"/>
                <w:szCs w:val="20"/>
                <w:lang w:val="fr-CH"/>
              </w:rPr>
              <w:t>00</w:t>
            </w:r>
          </w:p>
        </w:tc>
      </w:tr>
    </w:tbl>
    <w:p w14:paraId="46B4A4A3" w14:textId="77777777" w:rsidR="00EC0E23" w:rsidRPr="005E5973" w:rsidRDefault="00EC0E23" w:rsidP="00EC0E23">
      <w:pPr>
        <w:rPr>
          <w:rFonts w:ascii="Arial" w:hAnsi="Arial" w:cs="Arial"/>
          <w:sz w:val="20"/>
          <w:szCs w:val="20"/>
          <w:lang w:val="fr-CH"/>
        </w:rPr>
      </w:pPr>
    </w:p>
    <w:p w14:paraId="1B1CDB0E" w14:textId="77777777" w:rsidR="00EC0E23" w:rsidRPr="005E5973" w:rsidRDefault="00EC0E23" w:rsidP="00EC0E23">
      <w:pPr>
        <w:rPr>
          <w:rFonts w:ascii="Arial" w:hAnsi="Arial" w:cs="Arial"/>
          <w:sz w:val="20"/>
          <w:szCs w:val="20"/>
          <w:lang w:val="fr-CH"/>
        </w:rPr>
      </w:pPr>
    </w:p>
    <w:p w14:paraId="3D0C79C2" w14:textId="77777777" w:rsidR="00EC0E23" w:rsidRPr="005E5973" w:rsidRDefault="00EC0E23" w:rsidP="004A12DA">
      <w:pPr>
        <w:rPr>
          <w:rFonts w:ascii="Arial" w:hAnsi="Arial" w:cs="Arial"/>
          <w:lang w:val="fr-CH"/>
        </w:rPr>
      </w:pPr>
    </w:p>
    <w:sectPr w:rsidR="00EC0E23" w:rsidRPr="005E5973" w:rsidSect="00F2450A">
      <w:pgSz w:w="11906" w:h="16838"/>
      <w:pgMar w:top="1417" w:right="1417" w:bottom="1134" w:left="1417"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F32A9" w14:textId="77777777" w:rsidR="009F0531" w:rsidRDefault="009F0531" w:rsidP="006C7B17">
      <w:r>
        <w:separator/>
      </w:r>
    </w:p>
  </w:endnote>
  <w:endnote w:type="continuationSeparator" w:id="0">
    <w:p w14:paraId="5D242E59" w14:textId="77777777" w:rsidR="009F0531" w:rsidRDefault="009F0531" w:rsidP="006C7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B06040202020202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AkkuratStd">
    <w:panose1 w:val="02000503030000020004"/>
    <w:charset w:val="00"/>
    <w:family w:val="auto"/>
    <w:pitch w:val="variable"/>
    <w:sig w:usb0="800000AF" w:usb1="5000206A" w:usb2="00000000" w:usb3="00000000" w:csb0="0000000B"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0D586" w14:textId="77777777" w:rsidR="002079BB" w:rsidRDefault="002079BB" w:rsidP="0063468C">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57C5A4E" w14:textId="77777777" w:rsidR="002079BB" w:rsidRDefault="002079BB" w:rsidP="00AC064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B0C7A" w14:textId="6BF7144D" w:rsidR="002079BB" w:rsidRPr="0063468C" w:rsidRDefault="002079BB" w:rsidP="0063468C">
    <w:pPr>
      <w:pStyle w:val="Fuzeile"/>
      <w:framePr w:w="835" w:wrap="none" w:vAnchor="text" w:hAnchor="page" w:x="10702" w:y="12"/>
      <w:rPr>
        <w:rStyle w:val="Seitenzahl"/>
        <w:rFonts w:asciiTheme="majorHAnsi" w:hAnsiTheme="majorHAnsi"/>
        <w:sz w:val="16"/>
        <w:szCs w:val="16"/>
      </w:rPr>
    </w:pPr>
  </w:p>
  <w:p w14:paraId="1146CE79" w14:textId="0606F6E1" w:rsidR="002079BB" w:rsidRPr="0042566D" w:rsidRDefault="002079BB" w:rsidP="0063468C">
    <w:pPr>
      <w:pStyle w:val="Fuzeile"/>
      <w:ind w:right="360"/>
      <w:rPr>
        <w:rFonts w:ascii="Arial" w:hAnsi="Arial" w:cs="Arial"/>
        <w:sz w:val="16"/>
        <w:szCs w:val="16"/>
        <w:lang w:val="en-US"/>
      </w:rPr>
    </w:pPr>
    <w:r w:rsidRPr="002079BB">
      <w:rPr>
        <w:rFonts w:ascii="Arial" w:hAnsi="Arial" w:cs="Arial"/>
        <w:b/>
        <w:sz w:val="16"/>
        <w:szCs w:val="16"/>
        <w:lang w:val="fr-CH"/>
      </w:rPr>
      <w:t xml:space="preserve">Exemple règlement durable en matière de placements pour les organisations à but non lucratif | Fondation </w:t>
    </w:r>
    <w:proofErr w:type="spellStart"/>
    <w:r w:rsidRPr="002079BB">
      <w:rPr>
        <w:rFonts w:ascii="Arial" w:hAnsi="Arial" w:cs="Arial"/>
        <w:b/>
        <w:sz w:val="16"/>
        <w:szCs w:val="16"/>
        <w:lang w:val="fr-CH"/>
      </w:rPr>
      <w:t>Zewo</w:t>
    </w:r>
    <w:proofErr w:type="spellEnd"/>
    <w:r w:rsidRPr="002079BB">
      <w:rPr>
        <w:rFonts w:ascii="Arial" w:hAnsi="Arial" w:cs="Arial"/>
        <w:b/>
        <w:sz w:val="16"/>
        <w:szCs w:val="16"/>
        <w:lang w:val="fr-CH"/>
      </w:rPr>
      <w:t>, www.zewo.ch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6F92A" w14:textId="77777777" w:rsidR="009F0531" w:rsidRDefault="009F0531" w:rsidP="006C7B17">
      <w:r>
        <w:separator/>
      </w:r>
    </w:p>
  </w:footnote>
  <w:footnote w:type="continuationSeparator" w:id="0">
    <w:p w14:paraId="5D93BABC" w14:textId="77777777" w:rsidR="009F0531" w:rsidRDefault="009F0531" w:rsidP="006C7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7DEE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B19D4"/>
    <w:multiLevelType w:val="hybridMultilevel"/>
    <w:tmpl w:val="FB964E4A"/>
    <w:lvl w:ilvl="0" w:tplc="AA3C4EDE">
      <w:start w:val="1"/>
      <w:numFmt w:val="bullet"/>
      <w:lvlText w:val=""/>
      <w:lvlJc w:val="left"/>
      <w:pPr>
        <w:tabs>
          <w:tab w:val="num" w:pos="170"/>
        </w:tabs>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6C76C4"/>
    <w:multiLevelType w:val="hybridMultilevel"/>
    <w:tmpl w:val="E168DB98"/>
    <w:lvl w:ilvl="0" w:tplc="657E0390">
      <w:start w:val="1"/>
      <w:numFmt w:val="bullet"/>
      <w:lvlText w:val=""/>
      <w:lvlJc w:val="left"/>
      <w:pPr>
        <w:tabs>
          <w:tab w:val="num" w:pos="170"/>
        </w:tabs>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A5584F"/>
    <w:multiLevelType w:val="hybridMultilevel"/>
    <w:tmpl w:val="07D4ADEC"/>
    <w:lvl w:ilvl="0" w:tplc="75AE053A">
      <w:start w:val="1"/>
      <w:numFmt w:val="bullet"/>
      <w:lvlText w:val=""/>
      <w:lvlJc w:val="left"/>
      <w:pPr>
        <w:ind w:left="170" w:hanging="170"/>
      </w:pPr>
      <w:rPr>
        <w:rFonts w:ascii="Symbol" w:hAnsi="Symbol" w:hint="default"/>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2270910"/>
    <w:multiLevelType w:val="hybridMultilevel"/>
    <w:tmpl w:val="FEDE2C7C"/>
    <w:lvl w:ilvl="0" w:tplc="B6E62170">
      <w:start w:val="1"/>
      <w:numFmt w:val="lowerLetter"/>
      <w:lvlText w:val="%1)"/>
      <w:lvlJc w:val="left"/>
      <w:pPr>
        <w:ind w:left="284" w:hanging="284"/>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5" w15:restartNumberingAfterBreak="0">
    <w:nsid w:val="136B3451"/>
    <w:multiLevelType w:val="hybridMultilevel"/>
    <w:tmpl w:val="6F6291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7391B93"/>
    <w:multiLevelType w:val="hybridMultilevel"/>
    <w:tmpl w:val="D792782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7D90872"/>
    <w:multiLevelType w:val="hybridMultilevel"/>
    <w:tmpl w:val="B4128AB0"/>
    <w:lvl w:ilvl="0" w:tplc="9BB04A14">
      <w:start w:val="1"/>
      <w:numFmt w:val="decimal"/>
      <w:lvlText w:val="%1."/>
      <w:lvlJc w:val="left"/>
      <w:pPr>
        <w:ind w:left="850" w:hanging="283"/>
      </w:pPr>
      <w:rPr>
        <w:rFonts w:ascii="Calibri" w:hAnsi="Calibri" w:hint="default"/>
      </w:rPr>
    </w:lvl>
    <w:lvl w:ilvl="1" w:tplc="08070019" w:tentative="1">
      <w:start w:val="1"/>
      <w:numFmt w:val="lowerLetter"/>
      <w:lvlText w:val="%2."/>
      <w:lvlJc w:val="left"/>
      <w:pPr>
        <w:ind w:left="1723" w:hanging="360"/>
      </w:pPr>
    </w:lvl>
    <w:lvl w:ilvl="2" w:tplc="0807001B" w:tentative="1">
      <w:start w:val="1"/>
      <w:numFmt w:val="lowerRoman"/>
      <w:lvlText w:val="%3."/>
      <w:lvlJc w:val="right"/>
      <w:pPr>
        <w:ind w:left="2443" w:hanging="180"/>
      </w:pPr>
    </w:lvl>
    <w:lvl w:ilvl="3" w:tplc="0807000F" w:tentative="1">
      <w:start w:val="1"/>
      <w:numFmt w:val="decimal"/>
      <w:lvlText w:val="%4."/>
      <w:lvlJc w:val="left"/>
      <w:pPr>
        <w:ind w:left="3163" w:hanging="360"/>
      </w:pPr>
    </w:lvl>
    <w:lvl w:ilvl="4" w:tplc="08070019" w:tentative="1">
      <w:start w:val="1"/>
      <w:numFmt w:val="lowerLetter"/>
      <w:lvlText w:val="%5."/>
      <w:lvlJc w:val="left"/>
      <w:pPr>
        <w:ind w:left="3883" w:hanging="360"/>
      </w:pPr>
    </w:lvl>
    <w:lvl w:ilvl="5" w:tplc="0807001B" w:tentative="1">
      <w:start w:val="1"/>
      <w:numFmt w:val="lowerRoman"/>
      <w:lvlText w:val="%6."/>
      <w:lvlJc w:val="right"/>
      <w:pPr>
        <w:ind w:left="4603" w:hanging="180"/>
      </w:pPr>
    </w:lvl>
    <w:lvl w:ilvl="6" w:tplc="0807000F" w:tentative="1">
      <w:start w:val="1"/>
      <w:numFmt w:val="decimal"/>
      <w:lvlText w:val="%7."/>
      <w:lvlJc w:val="left"/>
      <w:pPr>
        <w:ind w:left="5323" w:hanging="360"/>
      </w:pPr>
    </w:lvl>
    <w:lvl w:ilvl="7" w:tplc="08070019" w:tentative="1">
      <w:start w:val="1"/>
      <w:numFmt w:val="lowerLetter"/>
      <w:lvlText w:val="%8."/>
      <w:lvlJc w:val="left"/>
      <w:pPr>
        <w:ind w:left="6043" w:hanging="360"/>
      </w:pPr>
    </w:lvl>
    <w:lvl w:ilvl="8" w:tplc="0807001B" w:tentative="1">
      <w:start w:val="1"/>
      <w:numFmt w:val="lowerRoman"/>
      <w:lvlText w:val="%9."/>
      <w:lvlJc w:val="right"/>
      <w:pPr>
        <w:ind w:left="6763" w:hanging="180"/>
      </w:pPr>
    </w:lvl>
  </w:abstractNum>
  <w:abstractNum w:abstractNumId="8" w15:restartNumberingAfterBreak="0">
    <w:nsid w:val="1A1310F4"/>
    <w:multiLevelType w:val="hybridMultilevel"/>
    <w:tmpl w:val="252EB900"/>
    <w:lvl w:ilvl="0" w:tplc="727209A4">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DD23427"/>
    <w:multiLevelType w:val="hybridMultilevel"/>
    <w:tmpl w:val="C3B44C0C"/>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DE465C5"/>
    <w:multiLevelType w:val="hybridMultilevel"/>
    <w:tmpl w:val="4B80C502"/>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EB95097"/>
    <w:multiLevelType w:val="multilevel"/>
    <w:tmpl w:val="27F2FA3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CA854D0"/>
    <w:multiLevelType w:val="hybridMultilevel"/>
    <w:tmpl w:val="9A10032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2BA3ED9"/>
    <w:multiLevelType w:val="multilevel"/>
    <w:tmpl w:val="768C4022"/>
    <w:lvl w:ilvl="0">
      <w:start w:val="1"/>
      <w:numFmt w:val="decimal"/>
      <w:lvlText w:val="%1."/>
      <w:lvlJc w:val="left"/>
      <w:pPr>
        <w:ind w:left="1065" w:hanging="70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76E48C4"/>
    <w:multiLevelType w:val="hybridMultilevel"/>
    <w:tmpl w:val="9396558C"/>
    <w:lvl w:ilvl="0" w:tplc="0798D21E">
      <w:start w:val="1"/>
      <w:numFmt w:val="bullet"/>
      <w:lvlText w:val=""/>
      <w:lvlJc w:val="left"/>
      <w:pPr>
        <w:tabs>
          <w:tab w:val="num" w:pos="170"/>
        </w:tabs>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9D55CB2"/>
    <w:multiLevelType w:val="hybridMultilevel"/>
    <w:tmpl w:val="AAFAA9C6"/>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6" w15:restartNumberingAfterBreak="0">
    <w:nsid w:val="42FE45B5"/>
    <w:multiLevelType w:val="hybridMultilevel"/>
    <w:tmpl w:val="E7DA56E2"/>
    <w:lvl w:ilvl="0" w:tplc="0798D21E">
      <w:start w:val="1"/>
      <w:numFmt w:val="bullet"/>
      <w:lvlText w:val=""/>
      <w:lvlJc w:val="left"/>
      <w:pPr>
        <w:tabs>
          <w:tab w:val="num" w:pos="170"/>
        </w:tabs>
        <w:ind w:left="170" w:hanging="17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35C5A77"/>
    <w:multiLevelType w:val="multilevel"/>
    <w:tmpl w:val="C3B44C0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5E0AF4"/>
    <w:multiLevelType w:val="hybridMultilevel"/>
    <w:tmpl w:val="AD58AF60"/>
    <w:lvl w:ilvl="0" w:tplc="AA6A4116">
      <w:start w:val="1"/>
      <w:numFmt w:val="bullet"/>
      <w:lvlText w:val=""/>
      <w:lvlJc w:val="left"/>
      <w:pPr>
        <w:tabs>
          <w:tab w:val="num" w:pos="720"/>
        </w:tabs>
        <w:ind w:left="720" w:hanging="360"/>
      </w:pPr>
      <w:rPr>
        <w:rFonts w:ascii="Wingdings" w:hAnsi="Wingdings" w:hint="default"/>
      </w:rPr>
    </w:lvl>
    <w:lvl w:ilvl="1" w:tplc="792E6C4E" w:tentative="1">
      <w:start w:val="1"/>
      <w:numFmt w:val="bullet"/>
      <w:lvlText w:val=""/>
      <w:lvlJc w:val="left"/>
      <w:pPr>
        <w:tabs>
          <w:tab w:val="num" w:pos="1440"/>
        </w:tabs>
        <w:ind w:left="1440" w:hanging="360"/>
      </w:pPr>
      <w:rPr>
        <w:rFonts w:ascii="Wingdings" w:hAnsi="Wingdings" w:hint="default"/>
      </w:rPr>
    </w:lvl>
    <w:lvl w:ilvl="2" w:tplc="7EE45E82" w:tentative="1">
      <w:start w:val="1"/>
      <w:numFmt w:val="bullet"/>
      <w:lvlText w:val=""/>
      <w:lvlJc w:val="left"/>
      <w:pPr>
        <w:tabs>
          <w:tab w:val="num" w:pos="2160"/>
        </w:tabs>
        <w:ind w:left="2160" w:hanging="360"/>
      </w:pPr>
      <w:rPr>
        <w:rFonts w:ascii="Wingdings" w:hAnsi="Wingdings" w:hint="default"/>
      </w:rPr>
    </w:lvl>
    <w:lvl w:ilvl="3" w:tplc="1564F8B6" w:tentative="1">
      <w:start w:val="1"/>
      <w:numFmt w:val="bullet"/>
      <w:lvlText w:val=""/>
      <w:lvlJc w:val="left"/>
      <w:pPr>
        <w:tabs>
          <w:tab w:val="num" w:pos="2880"/>
        </w:tabs>
        <w:ind w:left="2880" w:hanging="360"/>
      </w:pPr>
      <w:rPr>
        <w:rFonts w:ascii="Wingdings" w:hAnsi="Wingdings" w:hint="default"/>
      </w:rPr>
    </w:lvl>
    <w:lvl w:ilvl="4" w:tplc="E804666C" w:tentative="1">
      <w:start w:val="1"/>
      <w:numFmt w:val="bullet"/>
      <w:lvlText w:val=""/>
      <w:lvlJc w:val="left"/>
      <w:pPr>
        <w:tabs>
          <w:tab w:val="num" w:pos="3600"/>
        </w:tabs>
        <w:ind w:left="3600" w:hanging="360"/>
      </w:pPr>
      <w:rPr>
        <w:rFonts w:ascii="Wingdings" w:hAnsi="Wingdings" w:hint="default"/>
      </w:rPr>
    </w:lvl>
    <w:lvl w:ilvl="5" w:tplc="CE761276" w:tentative="1">
      <w:start w:val="1"/>
      <w:numFmt w:val="bullet"/>
      <w:lvlText w:val=""/>
      <w:lvlJc w:val="left"/>
      <w:pPr>
        <w:tabs>
          <w:tab w:val="num" w:pos="4320"/>
        </w:tabs>
        <w:ind w:left="4320" w:hanging="360"/>
      </w:pPr>
      <w:rPr>
        <w:rFonts w:ascii="Wingdings" w:hAnsi="Wingdings" w:hint="default"/>
      </w:rPr>
    </w:lvl>
    <w:lvl w:ilvl="6" w:tplc="9FB429BA" w:tentative="1">
      <w:start w:val="1"/>
      <w:numFmt w:val="bullet"/>
      <w:lvlText w:val=""/>
      <w:lvlJc w:val="left"/>
      <w:pPr>
        <w:tabs>
          <w:tab w:val="num" w:pos="5040"/>
        </w:tabs>
        <w:ind w:left="5040" w:hanging="360"/>
      </w:pPr>
      <w:rPr>
        <w:rFonts w:ascii="Wingdings" w:hAnsi="Wingdings" w:hint="default"/>
      </w:rPr>
    </w:lvl>
    <w:lvl w:ilvl="7" w:tplc="1668F624" w:tentative="1">
      <w:start w:val="1"/>
      <w:numFmt w:val="bullet"/>
      <w:lvlText w:val=""/>
      <w:lvlJc w:val="left"/>
      <w:pPr>
        <w:tabs>
          <w:tab w:val="num" w:pos="5760"/>
        </w:tabs>
        <w:ind w:left="5760" w:hanging="360"/>
      </w:pPr>
      <w:rPr>
        <w:rFonts w:ascii="Wingdings" w:hAnsi="Wingdings" w:hint="default"/>
      </w:rPr>
    </w:lvl>
    <w:lvl w:ilvl="8" w:tplc="85DCBD2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4521C9"/>
    <w:multiLevelType w:val="hybridMultilevel"/>
    <w:tmpl w:val="9E70C31C"/>
    <w:lvl w:ilvl="0" w:tplc="0798D21E">
      <w:start w:val="1"/>
      <w:numFmt w:val="bullet"/>
      <w:lvlText w:val=""/>
      <w:lvlJc w:val="left"/>
      <w:pPr>
        <w:tabs>
          <w:tab w:val="num" w:pos="170"/>
        </w:tabs>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AE97F73"/>
    <w:multiLevelType w:val="hybridMultilevel"/>
    <w:tmpl w:val="41B645AC"/>
    <w:lvl w:ilvl="0" w:tplc="1AE4F8D4">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C7B45F9"/>
    <w:multiLevelType w:val="hybridMultilevel"/>
    <w:tmpl w:val="24F64314"/>
    <w:lvl w:ilvl="0" w:tplc="0798D21E">
      <w:start w:val="1"/>
      <w:numFmt w:val="bullet"/>
      <w:lvlText w:val=""/>
      <w:lvlJc w:val="left"/>
      <w:pPr>
        <w:tabs>
          <w:tab w:val="num" w:pos="170"/>
        </w:tabs>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DF85D8E"/>
    <w:multiLevelType w:val="hybridMultilevel"/>
    <w:tmpl w:val="6A328326"/>
    <w:lvl w:ilvl="0" w:tplc="DD8A846E">
      <w:start w:val="1"/>
      <w:numFmt w:val="decimal"/>
      <w:lvlText w:val="%1."/>
      <w:lvlJc w:val="left"/>
      <w:pPr>
        <w:ind w:left="284" w:hanging="284"/>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96E2259"/>
    <w:multiLevelType w:val="hybridMultilevel"/>
    <w:tmpl w:val="43941658"/>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CC255B4"/>
    <w:multiLevelType w:val="multilevel"/>
    <w:tmpl w:val="7EFAA8AE"/>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1A40F14"/>
    <w:multiLevelType w:val="multilevel"/>
    <w:tmpl w:val="D79278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7E3481"/>
    <w:multiLevelType w:val="multilevel"/>
    <w:tmpl w:val="D1868C4C"/>
    <w:lvl w:ilvl="0">
      <w:start w:val="1"/>
      <w:numFmt w:val="decimal"/>
      <w:lvlText w:val="%1."/>
      <w:lvlJc w:val="left"/>
      <w:pPr>
        <w:ind w:left="284" w:hanging="284"/>
      </w:pPr>
      <w:rPr>
        <w:rFonts w:hint="default"/>
      </w:rPr>
    </w:lvl>
    <w:lvl w:ilvl="1">
      <w:start w:val="4"/>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6CEB48BC"/>
    <w:multiLevelType w:val="hybridMultilevel"/>
    <w:tmpl w:val="39E2E82C"/>
    <w:lvl w:ilvl="0" w:tplc="7526C624">
      <w:start w:val="1"/>
      <w:numFmt w:val="bullet"/>
      <w:lvlText w:val=""/>
      <w:lvlJc w:val="left"/>
      <w:pPr>
        <w:ind w:left="567" w:hanging="283"/>
      </w:pPr>
      <w:rPr>
        <w:rFonts w:ascii="Symbol" w:hAnsi="Symbol"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8" w15:restartNumberingAfterBreak="0">
    <w:nsid w:val="6E435E25"/>
    <w:multiLevelType w:val="multilevel"/>
    <w:tmpl w:val="4394165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18C5D2E"/>
    <w:multiLevelType w:val="hybridMultilevel"/>
    <w:tmpl w:val="0F20B71E"/>
    <w:lvl w:ilvl="0" w:tplc="08070001">
      <w:start w:val="1"/>
      <w:numFmt w:val="bullet"/>
      <w:lvlText w:val=""/>
      <w:lvlJc w:val="left"/>
      <w:pPr>
        <w:tabs>
          <w:tab w:val="num" w:pos="360"/>
        </w:tabs>
        <w:ind w:left="360" w:hanging="360"/>
      </w:pPr>
      <w:rPr>
        <w:rFonts w:ascii="Symbol" w:hAnsi="Symbol" w:hint="default"/>
      </w:rPr>
    </w:lvl>
    <w:lvl w:ilvl="1" w:tplc="08070003">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B7526C"/>
    <w:multiLevelType w:val="multilevel"/>
    <w:tmpl w:val="D79278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78452EC"/>
    <w:multiLevelType w:val="multilevel"/>
    <w:tmpl w:val="3CC6C716"/>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9673B6D"/>
    <w:multiLevelType w:val="multilevel"/>
    <w:tmpl w:val="92F083D0"/>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98C4C54"/>
    <w:multiLevelType w:val="multilevel"/>
    <w:tmpl w:val="41B645A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A1B273E"/>
    <w:multiLevelType w:val="hybridMultilevel"/>
    <w:tmpl w:val="27F2FA30"/>
    <w:lvl w:ilvl="0" w:tplc="C8AAA150">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35" w15:restartNumberingAfterBreak="0">
    <w:nsid w:val="7BDD1C28"/>
    <w:multiLevelType w:val="multilevel"/>
    <w:tmpl w:val="109A567E"/>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7D3B141B"/>
    <w:multiLevelType w:val="hybridMultilevel"/>
    <w:tmpl w:val="CC84583C"/>
    <w:lvl w:ilvl="0" w:tplc="08070001">
      <w:start w:val="1"/>
      <w:numFmt w:val="bullet"/>
      <w:lvlText w:val=""/>
      <w:lvlJc w:val="left"/>
      <w:pPr>
        <w:ind w:left="720" w:hanging="360"/>
      </w:pPr>
      <w:rPr>
        <w:rFonts w:ascii="Symbol" w:hAnsi="Symbol" w:hint="default"/>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7D950943"/>
    <w:multiLevelType w:val="hybridMultilevel"/>
    <w:tmpl w:val="F17230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7DE87793"/>
    <w:multiLevelType w:val="hybridMultilevel"/>
    <w:tmpl w:val="27F2FA30"/>
    <w:lvl w:ilvl="0" w:tplc="C8AAA150">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39" w15:restartNumberingAfterBreak="0">
    <w:nsid w:val="7EDD49F3"/>
    <w:multiLevelType w:val="hybridMultilevel"/>
    <w:tmpl w:val="5C848D1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7F525426"/>
    <w:multiLevelType w:val="multilevel"/>
    <w:tmpl w:val="063CAEBE"/>
    <w:lvl w:ilvl="0">
      <w:start w:val="1"/>
      <w:numFmt w:val="decimal"/>
      <w:lvlText w:val="%1."/>
      <w:lvlJc w:val="left"/>
      <w:pPr>
        <w:ind w:left="284" w:hanging="284"/>
      </w:pPr>
      <w:rPr>
        <w:rFonts w:hint="default"/>
      </w:rPr>
    </w:lvl>
    <w:lvl w:ilvl="1">
      <w:start w:val="4"/>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40"/>
  </w:num>
  <w:num w:numId="2">
    <w:abstractNumId w:val="9"/>
  </w:num>
  <w:num w:numId="3">
    <w:abstractNumId w:val="29"/>
  </w:num>
  <w:num w:numId="4">
    <w:abstractNumId w:val="8"/>
  </w:num>
  <w:num w:numId="5">
    <w:abstractNumId w:val="12"/>
  </w:num>
  <w:num w:numId="6">
    <w:abstractNumId w:val="36"/>
  </w:num>
  <w:num w:numId="7">
    <w:abstractNumId w:val="10"/>
  </w:num>
  <w:num w:numId="8">
    <w:abstractNumId w:val="23"/>
  </w:num>
  <w:num w:numId="9">
    <w:abstractNumId w:val="39"/>
  </w:num>
  <w:num w:numId="10">
    <w:abstractNumId w:val="37"/>
  </w:num>
  <w:num w:numId="11">
    <w:abstractNumId w:val="7"/>
  </w:num>
  <w:num w:numId="12">
    <w:abstractNumId w:val="18"/>
  </w:num>
  <w:num w:numId="13">
    <w:abstractNumId w:val="22"/>
  </w:num>
  <w:num w:numId="14">
    <w:abstractNumId w:val="6"/>
  </w:num>
  <w:num w:numId="15">
    <w:abstractNumId w:val="4"/>
  </w:num>
  <w:num w:numId="16">
    <w:abstractNumId w:val="34"/>
  </w:num>
  <w:num w:numId="17">
    <w:abstractNumId w:val="38"/>
  </w:num>
  <w:num w:numId="18">
    <w:abstractNumId w:val="5"/>
  </w:num>
  <w:num w:numId="19">
    <w:abstractNumId w:val="13"/>
  </w:num>
  <w:num w:numId="20">
    <w:abstractNumId w:val="35"/>
  </w:num>
  <w:num w:numId="21">
    <w:abstractNumId w:val="26"/>
  </w:num>
  <w:num w:numId="22">
    <w:abstractNumId w:val="20"/>
  </w:num>
  <w:num w:numId="23">
    <w:abstractNumId w:val="33"/>
  </w:num>
  <w:num w:numId="24">
    <w:abstractNumId w:val="1"/>
  </w:num>
  <w:num w:numId="25">
    <w:abstractNumId w:val="17"/>
  </w:num>
  <w:num w:numId="26">
    <w:abstractNumId w:val="16"/>
  </w:num>
  <w:num w:numId="27">
    <w:abstractNumId w:val="21"/>
  </w:num>
  <w:num w:numId="28">
    <w:abstractNumId w:val="19"/>
  </w:num>
  <w:num w:numId="29">
    <w:abstractNumId w:val="14"/>
  </w:num>
  <w:num w:numId="30">
    <w:abstractNumId w:val="25"/>
  </w:num>
  <w:num w:numId="31">
    <w:abstractNumId w:val="30"/>
  </w:num>
  <w:num w:numId="32">
    <w:abstractNumId w:val="11"/>
  </w:num>
  <w:num w:numId="33">
    <w:abstractNumId w:val="28"/>
  </w:num>
  <w:num w:numId="34">
    <w:abstractNumId w:val="3"/>
  </w:num>
  <w:num w:numId="35">
    <w:abstractNumId w:val="0"/>
  </w:num>
  <w:num w:numId="36">
    <w:abstractNumId w:val="15"/>
  </w:num>
  <w:num w:numId="37">
    <w:abstractNumId w:val="27"/>
  </w:num>
  <w:num w:numId="38">
    <w:abstractNumId w:val="2"/>
  </w:num>
  <w:num w:numId="39">
    <w:abstractNumId w:val="24"/>
  </w:num>
  <w:num w:numId="40">
    <w:abstractNumId w:val="31"/>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B17"/>
    <w:rsid w:val="00011A85"/>
    <w:rsid w:val="000123B3"/>
    <w:rsid w:val="00012DA2"/>
    <w:rsid w:val="00017EE8"/>
    <w:rsid w:val="000226C9"/>
    <w:rsid w:val="00023873"/>
    <w:rsid w:val="000261A2"/>
    <w:rsid w:val="000317D7"/>
    <w:rsid w:val="000361E1"/>
    <w:rsid w:val="00045FB0"/>
    <w:rsid w:val="000515F5"/>
    <w:rsid w:val="00051943"/>
    <w:rsid w:val="00054678"/>
    <w:rsid w:val="00070535"/>
    <w:rsid w:val="000914F6"/>
    <w:rsid w:val="00095B00"/>
    <w:rsid w:val="000A45C8"/>
    <w:rsid w:val="000B63B3"/>
    <w:rsid w:val="000B67F5"/>
    <w:rsid w:val="000C6E38"/>
    <w:rsid w:val="000C7226"/>
    <w:rsid w:val="000E41B0"/>
    <w:rsid w:val="000E4EF0"/>
    <w:rsid w:val="00113C4C"/>
    <w:rsid w:val="00122A4F"/>
    <w:rsid w:val="00123BE6"/>
    <w:rsid w:val="00126752"/>
    <w:rsid w:val="00137C00"/>
    <w:rsid w:val="00140095"/>
    <w:rsid w:val="001436B4"/>
    <w:rsid w:val="00154261"/>
    <w:rsid w:val="00161E09"/>
    <w:rsid w:val="001802AD"/>
    <w:rsid w:val="00195ABF"/>
    <w:rsid w:val="001A01B7"/>
    <w:rsid w:val="001A4E1B"/>
    <w:rsid w:val="001B1319"/>
    <w:rsid w:val="001B1D0C"/>
    <w:rsid w:val="001C0AD3"/>
    <w:rsid w:val="001C3B46"/>
    <w:rsid w:val="001E73AB"/>
    <w:rsid w:val="001F0DF1"/>
    <w:rsid w:val="002032E5"/>
    <w:rsid w:val="00205A6F"/>
    <w:rsid w:val="00205E83"/>
    <w:rsid w:val="002079BB"/>
    <w:rsid w:val="00214991"/>
    <w:rsid w:val="00222ADF"/>
    <w:rsid w:val="00225263"/>
    <w:rsid w:val="00241410"/>
    <w:rsid w:val="00242BD4"/>
    <w:rsid w:val="00244138"/>
    <w:rsid w:val="00250459"/>
    <w:rsid w:val="00252BCC"/>
    <w:rsid w:val="00264CC9"/>
    <w:rsid w:val="00267463"/>
    <w:rsid w:val="00286933"/>
    <w:rsid w:val="002907F7"/>
    <w:rsid w:val="002B09FF"/>
    <w:rsid w:val="002B3AEC"/>
    <w:rsid w:val="002B6576"/>
    <w:rsid w:val="002B790A"/>
    <w:rsid w:val="002C1221"/>
    <w:rsid w:val="002C3742"/>
    <w:rsid w:val="002D370C"/>
    <w:rsid w:val="002E312C"/>
    <w:rsid w:val="002E5328"/>
    <w:rsid w:val="002F0A53"/>
    <w:rsid w:val="00301452"/>
    <w:rsid w:val="003065E0"/>
    <w:rsid w:val="00320DDD"/>
    <w:rsid w:val="00324D13"/>
    <w:rsid w:val="003508E6"/>
    <w:rsid w:val="003712E6"/>
    <w:rsid w:val="00371B87"/>
    <w:rsid w:val="00373CCD"/>
    <w:rsid w:val="00380964"/>
    <w:rsid w:val="003809FC"/>
    <w:rsid w:val="00382EFB"/>
    <w:rsid w:val="00392013"/>
    <w:rsid w:val="00392229"/>
    <w:rsid w:val="003971C4"/>
    <w:rsid w:val="003A2025"/>
    <w:rsid w:val="003B3023"/>
    <w:rsid w:val="003C1E7B"/>
    <w:rsid w:val="003C22B3"/>
    <w:rsid w:val="003D0B6C"/>
    <w:rsid w:val="003E03A9"/>
    <w:rsid w:val="003E7312"/>
    <w:rsid w:val="003F2D0F"/>
    <w:rsid w:val="003F2EF8"/>
    <w:rsid w:val="003F31D7"/>
    <w:rsid w:val="003F7E28"/>
    <w:rsid w:val="00424BB1"/>
    <w:rsid w:val="0042566D"/>
    <w:rsid w:val="00432A61"/>
    <w:rsid w:val="00455418"/>
    <w:rsid w:val="00455844"/>
    <w:rsid w:val="0046275A"/>
    <w:rsid w:val="00472573"/>
    <w:rsid w:val="004827A2"/>
    <w:rsid w:val="00487629"/>
    <w:rsid w:val="004919C9"/>
    <w:rsid w:val="00492E09"/>
    <w:rsid w:val="0049748E"/>
    <w:rsid w:val="004A12DA"/>
    <w:rsid w:val="004A40EA"/>
    <w:rsid w:val="004B169D"/>
    <w:rsid w:val="004B3E9F"/>
    <w:rsid w:val="004D3848"/>
    <w:rsid w:val="004F01DF"/>
    <w:rsid w:val="004F35D9"/>
    <w:rsid w:val="004F3CAB"/>
    <w:rsid w:val="005010D3"/>
    <w:rsid w:val="0050172F"/>
    <w:rsid w:val="00512D31"/>
    <w:rsid w:val="005152FA"/>
    <w:rsid w:val="00516D82"/>
    <w:rsid w:val="005223E2"/>
    <w:rsid w:val="00544256"/>
    <w:rsid w:val="00545B8E"/>
    <w:rsid w:val="00552202"/>
    <w:rsid w:val="00561B22"/>
    <w:rsid w:val="00564099"/>
    <w:rsid w:val="00567143"/>
    <w:rsid w:val="00567EB3"/>
    <w:rsid w:val="005749B1"/>
    <w:rsid w:val="00595AE5"/>
    <w:rsid w:val="005A3B05"/>
    <w:rsid w:val="005A7579"/>
    <w:rsid w:val="005B3D9D"/>
    <w:rsid w:val="005B6C78"/>
    <w:rsid w:val="005C4574"/>
    <w:rsid w:val="005D14E8"/>
    <w:rsid w:val="005D1FD7"/>
    <w:rsid w:val="005D6FAE"/>
    <w:rsid w:val="005D7E5D"/>
    <w:rsid w:val="005E5973"/>
    <w:rsid w:val="005F5809"/>
    <w:rsid w:val="00600846"/>
    <w:rsid w:val="006018D1"/>
    <w:rsid w:val="00603A83"/>
    <w:rsid w:val="00606D85"/>
    <w:rsid w:val="00626996"/>
    <w:rsid w:val="00633A59"/>
    <w:rsid w:val="00633F82"/>
    <w:rsid w:val="0063468C"/>
    <w:rsid w:val="00634DBA"/>
    <w:rsid w:val="00635355"/>
    <w:rsid w:val="006353B6"/>
    <w:rsid w:val="0063621D"/>
    <w:rsid w:val="006379FC"/>
    <w:rsid w:val="00643E2A"/>
    <w:rsid w:val="006531AA"/>
    <w:rsid w:val="006545AA"/>
    <w:rsid w:val="00657DE5"/>
    <w:rsid w:val="0066478D"/>
    <w:rsid w:val="00670911"/>
    <w:rsid w:val="0068264B"/>
    <w:rsid w:val="00695E1F"/>
    <w:rsid w:val="006B16FD"/>
    <w:rsid w:val="006B6320"/>
    <w:rsid w:val="006C1C23"/>
    <w:rsid w:val="006C693C"/>
    <w:rsid w:val="006C7B17"/>
    <w:rsid w:val="006E5DD1"/>
    <w:rsid w:val="006E6D45"/>
    <w:rsid w:val="0070042F"/>
    <w:rsid w:val="00701A33"/>
    <w:rsid w:val="007064F8"/>
    <w:rsid w:val="00711B4F"/>
    <w:rsid w:val="007133EC"/>
    <w:rsid w:val="0071340B"/>
    <w:rsid w:val="00715448"/>
    <w:rsid w:val="00717EAC"/>
    <w:rsid w:val="00720417"/>
    <w:rsid w:val="00720EE4"/>
    <w:rsid w:val="007266C4"/>
    <w:rsid w:val="00730E35"/>
    <w:rsid w:val="0073221F"/>
    <w:rsid w:val="00736BEF"/>
    <w:rsid w:val="0074348A"/>
    <w:rsid w:val="00746886"/>
    <w:rsid w:val="00753959"/>
    <w:rsid w:val="00755BA0"/>
    <w:rsid w:val="0076476C"/>
    <w:rsid w:val="007828CB"/>
    <w:rsid w:val="00782CA9"/>
    <w:rsid w:val="00786192"/>
    <w:rsid w:val="0078766C"/>
    <w:rsid w:val="00793785"/>
    <w:rsid w:val="007A2660"/>
    <w:rsid w:val="007B4ADB"/>
    <w:rsid w:val="007B714D"/>
    <w:rsid w:val="007C3D70"/>
    <w:rsid w:val="007D15D3"/>
    <w:rsid w:val="007D4E47"/>
    <w:rsid w:val="007D5863"/>
    <w:rsid w:val="007E3D45"/>
    <w:rsid w:val="007E5D1B"/>
    <w:rsid w:val="007E723F"/>
    <w:rsid w:val="007F1C26"/>
    <w:rsid w:val="007F2B61"/>
    <w:rsid w:val="00823E45"/>
    <w:rsid w:val="00833B5B"/>
    <w:rsid w:val="00833FAD"/>
    <w:rsid w:val="00857930"/>
    <w:rsid w:val="00857E75"/>
    <w:rsid w:val="008621DF"/>
    <w:rsid w:val="00862A1A"/>
    <w:rsid w:val="00865AA3"/>
    <w:rsid w:val="008678F0"/>
    <w:rsid w:val="00874379"/>
    <w:rsid w:val="00875411"/>
    <w:rsid w:val="00895604"/>
    <w:rsid w:val="008A69C0"/>
    <w:rsid w:val="008B09C0"/>
    <w:rsid w:val="008C0F83"/>
    <w:rsid w:val="008C28AA"/>
    <w:rsid w:val="008C31B1"/>
    <w:rsid w:val="008C647A"/>
    <w:rsid w:val="008D07D2"/>
    <w:rsid w:val="008D5D77"/>
    <w:rsid w:val="008D648E"/>
    <w:rsid w:val="008E2CB4"/>
    <w:rsid w:val="008E350F"/>
    <w:rsid w:val="008F3719"/>
    <w:rsid w:val="00900F73"/>
    <w:rsid w:val="009161CC"/>
    <w:rsid w:val="00920888"/>
    <w:rsid w:val="00923688"/>
    <w:rsid w:val="00942450"/>
    <w:rsid w:val="00944103"/>
    <w:rsid w:val="0094481D"/>
    <w:rsid w:val="0095352C"/>
    <w:rsid w:val="009575C8"/>
    <w:rsid w:val="009730F7"/>
    <w:rsid w:val="00984D3B"/>
    <w:rsid w:val="0098799A"/>
    <w:rsid w:val="00997FC2"/>
    <w:rsid w:val="009B3B19"/>
    <w:rsid w:val="009B3DC2"/>
    <w:rsid w:val="009B5224"/>
    <w:rsid w:val="009C10D1"/>
    <w:rsid w:val="009C3D30"/>
    <w:rsid w:val="009C4C19"/>
    <w:rsid w:val="009D7352"/>
    <w:rsid w:val="009E66A1"/>
    <w:rsid w:val="009F0531"/>
    <w:rsid w:val="00A001A3"/>
    <w:rsid w:val="00A011DD"/>
    <w:rsid w:val="00A02B52"/>
    <w:rsid w:val="00A11445"/>
    <w:rsid w:val="00A11CB9"/>
    <w:rsid w:val="00A14315"/>
    <w:rsid w:val="00A1673F"/>
    <w:rsid w:val="00A208A0"/>
    <w:rsid w:val="00A26EE3"/>
    <w:rsid w:val="00A3708B"/>
    <w:rsid w:val="00A6416E"/>
    <w:rsid w:val="00A71433"/>
    <w:rsid w:val="00A73258"/>
    <w:rsid w:val="00A76638"/>
    <w:rsid w:val="00A76E8F"/>
    <w:rsid w:val="00A81664"/>
    <w:rsid w:val="00A867CD"/>
    <w:rsid w:val="00A86A9B"/>
    <w:rsid w:val="00A91B19"/>
    <w:rsid w:val="00AA4DEC"/>
    <w:rsid w:val="00AB56C3"/>
    <w:rsid w:val="00AB7366"/>
    <w:rsid w:val="00AC0641"/>
    <w:rsid w:val="00AC35E0"/>
    <w:rsid w:val="00AD0223"/>
    <w:rsid w:val="00AE4677"/>
    <w:rsid w:val="00AF0828"/>
    <w:rsid w:val="00B0154D"/>
    <w:rsid w:val="00B12F11"/>
    <w:rsid w:val="00B2088B"/>
    <w:rsid w:val="00B23CCA"/>
    <w:rsid w:val="00B26358"/>
    <w:rsid w:val="00B3407B"/>
    <w:rsid w:val="00B43B84"/>
    <w:rsid w:val="00B4665B"/>
    <w:rsid w:val="00B53B3D"/>
    <w:rsid w:val="00B5600D"/>
    <w:rsid w:val="00B5628A"/>
    <w:rsid w:val="00B56861"/>
    <w:rsid w:val="00B71B86"/>
    <w:rsid w:val="00B72F9D"/>
    <w:rsid w:val="00BA11BB"/>
    <w:rsid w:val="00BA71D4"/>
    <w:rsid w:val="00BB6995"/>
    <w:rsid w:val="00BC144A"/>
    <w:rsid w:val="00BC5A1C"/>
    <w:rsid w:val="00BD6196"/>
    <w:rsid w:val="00BE46CA"/>
    <w:rsid w:val="00BE4DDD"/>
    <w:rsid w:val="00C15003"/>
    <w:rsid w:val="00C154F1"/>
    <w:rsid w:val="00C20E79"/>
    <w:rsid w:val="00C268F3"/>
    <w:rsid w:val="00C30163"/>
    <w:rsid w:val="00C31FB3"/>
    <w:rsid w:val="00C51434"/>
    <w:rsid w:val="00C53CE3"/>
    <w:rsid w:val="00C65B9F"/>
    <w:rsid w:val="00C66478"/>
    <w:rsid w:val="00C706E1"/>
    <w:rsid w:val="00C70FCA"/>
    <w:rsid w:val="00C71CC2"/>
    <w:rsid w:val="00C83325"/>
    <w:rsid w:val="00C85085"/>
    <w:rsid w:val="00CA1FE7"/>
    <w:rsid w:val="00CA4C11"/>
    <w:rsid w:val="00CB2A88"/>
    <w:rsid w:val="00CB3F83"/>
    <w:rsid w:val="00CB7F67"/>
    <w:rsid w:val="00CC2609"/>
    <w:rsid w:val="00CC2900"/>
    <w:rsid w:val="00CC3082"/>
    <w:rsid w:val="00CC4291"/>
    <w:rsid w:val="00CD31A8"/>
    <w:rsid w:val="00CD3410"/>
    <w:rsid w:val="00CF1BC1"/>
    <w:rsid w:val="00CF21DF"/>
    <w:rsid w:val="00CF4522"/>
    <w:rsid w:val="00D04614"/>
    <w:rsid w:val="00D066BA"/>
    <w:rsid w:val="00D073D2"/>
    <w:rsid w:val="00D122C7"/>
    <w:rsid w:val="00D16788"/>
    <w:rsid w:val="00D16D23"/>
    <w:rsid w:val="00D20760"/>
    <w:rsid w:val="00D32697"/>
    <w:rsid w:val="00D5099B"/>
    <w:rsid w:val="00D60CB6"/>
    <w:rsid w:val="00D66B84"/>
    <w:rsid w:val="00D67265"/>
    <w:rsid w:val="00D75D62"/>
    <w:rsid w:val="00D77BAD"/>
    <w:rsid w:val="00D87FA1"/>
    <w:rsid w:val="00D91D2C"/>
    <w:rsid w:val="00D97B11"/>
    <w:rsid w:val="00DA079C"/>
    <w:rsid w:val="00DA1945"/>
    <w:rsid w:val="00DA47A9"/>
    <w:rsid w:val="00DD14E8"/>
    <w:rsid w:val="00DD2442"/>
    <w:rsid w:val="00DD3B68"/>
    <w:rsid w:val="00DE73C1"/>
    <w:rsid w:val="00DF00AA"/>
    <w:rsid w:val="00DF0428"/>
    <w:rsid w:val="00DF1F07"/>
    <w:rsid w:val="00E011C9"/>
    <w:rsid w:val="00E10269"/>
    <w:rsid w:val="00E139AA"/>
    <w:rsid w:val="00E375C3"/>
    <w:rsid w:val="00E45170"/>
    <w:rsid w:val="00E513AE"/>
    <w:rsid w:val="00E537FC"/>
    <w:rsid w:val="00E644C9"/>
    <w:rsid w:val="00E66DBA"/>
    <w:rsid w:val="00E72D41"/>
    <w:rsid w:val="00E74B54"/>
    <w:rsid w:val="00E809F0"/>
    <w:rsid w:val="00E825EC"/>
    <w:rsid w:val="00E869D1"/>
    <w:rsid w:val="00E938E4"/>
    <w:rsid w:val="00E97F9B"/>
    <w:rsid w:val="00EA4B41"/>
    <w:rsid w:val="00EA6DBA"/>
    <w:rsid w:val="00EA7B9D"/>
    <w:rsid w:val="00EB5F2B"/>
    <w:rsid w:val="00EC0E23"/>
    <w:rsid w:val="00EC27EF"/>
    <w:rsid w:val="00EC30E5"/>
    <w:rsid w:val="00ED2B33"/>
    <w:rsid w:val="00ED40EE"/>
    <w:rsid w:val="00EE2926"/>
    <w:rsid w:val="00EE3EC7"/>
    <w:rsid w:val="00EE76CA"/>
    <w:rsid w:val="00EE797D"/>
    <w:rsid w:val="00EF03B4"/>
    <w:rsid w:val="00EF4358"/>
    <w:rsid w:val="00EF6B72"/>
    <w:rsid w:val="00EF7AB7"/>
    <w:rsid w:val="00F00020"/>
    <w:rsid w:val="00F02FBB"/>
    <w:rsid w:val="00F2450A"/>
    <w:rsid w:val="00F31A77"/>
    <w:rsid w:val="00F42DC8"/>
    <w:rsid w:val="00F738E2"/>
    <w:rsid w:val="00F81F26"/>
    <w:rsid w:val="00FA3806"/>
    <w:rsid w:val="00FB6B7A"/>
    <w:rsid w:val="00FC36D2"/>
    <w:rsid w:val="00FE0F73"/>
    <w:rsid w:val="00FE3517"/>
    <w:rsid w:val="00FE5550"/>
    <w:rsid w:val="00FF404E"/>
  </w:rsids>
  <m:mathPr>
    <m:mathFont m:val="Cambria Math"/>
    <m:brkBin m:val="before"/>
    <m:brkBinSub m:val="--"/>
    <m:smallFrac m:val="0"/>
    <m:dispDef/>
    <m:lMargin m:val="0"/>
    <m:rMargin m:val="0"/>
    <m:defJc m:val="centerGroup"/>
    <m:wrapIndent m:val="1440"/>
    <m:intLim m:val="subSup"/>
    <m:naryLim m:val="undOvr"/>
  </m:mathPr>
  <w:themeFontLang w:val="de-CH" w:bidi="t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778F23A"/>
  <w15:docId w15:val="{1FE83CA3-E3AA-304F-8EB2-315EAA8B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1D0C"/>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C7B17"/>
    <w:pPr>
      <w:tabs>
        <w:tab w:val="center" w:pos="4536"/>
        <w:tab w:val="right" w:pos="9072"/>
      </w:tabs>
    </w:pPr>
  </w:style>
  <w:style w:type="character" w:customStyle="1" w:styleId="KopfzeileZchn">
    <w:name w:val="Kopfzeile Zchn"/>
    <w:basedOn w:val="Absatz-Standardschriftart"/>
    <w:link w:val="Kopfzeile"/>
    <w:rsid w:val="006C7B17"/>
    <w:rPr>
      <w:rFonts w:eastAsia="Times New Roman"/>
      <w:sz w:val="24"/>
      <w:szCs w:val="24"/>
      <w:lang w:val="de-CH" w:eastAsia="de-DE"/>
    </w:rPr>
  </w:style>
  <w:style w:type="paragraph" w:styleId="Fuzeile">
    <w:name w:val="footer"/>
    <w:basedOn w:val="Standard"/>
    <w:link w:val="FuzeileZchn"/>
    <w:uiPriority w:val="99"/>
    <w:rsid w:val="006C7B17"/>
    <w:pPr>
      <w:tabs>
        <w:tab w:val="center" w:pos="4536"/>
        <w:tab w:val="right" w:pos="9072"/>
      </w:tabs>
    </w:pPr>
  </w:style>
  <w:style w:type="character" w:customStyle="1" w:styleId="FuzeileZchn">
    <w:name w:val="Fußzeile Zchn"/>
    <w:basedOn w:val="Absatz-Standardschriftart"/>
    <w:link w:val="Fuzeile"/>
    <w:uiPriority w:val="99"/>
    <w:rsid w:val="006C7B17"/>
    <w:rPr>
      <w:rFonts w:eastAsia="Times New Roman"/>
      <w:sz w:val="24"/>
      <w:szCs w:val="24"/>
      <w:lang w:val="de-CH" w:eastAsia="de-DE"/>
    </w:rPr>
  </w:style>
  <w:style w:type="paragraph" w:styleId="Listenabsatz">
    <w:name w:val="List Paragraph"/>
    <w:basedOn w:val="Standard"/>
    <w:uiPriority w:val="34"/>
    <w:qFormat/>
    <w:rsid w:val="00544256"/>
    <w:pPr>
      <w:ind w:left="720"/>
      <w:contextualSpacing/>
    </w:pPr>
  </w:style>
  <w:style w:type="paragraph" w:styleId="Sprechblasentext">
    <w:name w:val="Balloon Text"/>
    <w:basedOn w:val="Standard"/>
    <w:link w:val="SprechblasentextZchn"/>
    <w:uiPriority w:val="99"/>
    <w:semiHidden/>
    <w:unhideWhenUsed/>
    <w:rsid w:val="00195AB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5ABF"/>
    <w:rPr>
      <w:rFonts w:ascii="Tahoma" w:eastAsia="Times New Roman" w:hAnsi="Tahoma" w:cs="Tahoma"/>
      <w:sz w:val="16"/>
      <w:szCs w:val="16"/>
      <w:lang w:val="de-CH" w:eastAsia="de-DE"/>
    </w:rPr>
  </w:style>
  <w:style w:type="character" w:styleId="Seitenzahl">
    <w:name w:val="page number"/>
    <w:basedOn w:val="Absatz-Standardschriftart"/>
    <w:uiPriority w:val="99"/>
    <w:unhideWhenUsed/>
    <w:rsid w:val="00AC0641"/>
  </w:style>
  <w:style w:type="paragraph" w:styleId="KeinLeerraum">
    <w:name w:val="No Spacing"/>
    <w:link w:val="KeinLeerraumZchn"/>
    <w:uiPriority w:val="1"/>
    <w:qFormat/>
    <w:rsid w:val="00833FAD"/>
    <w:rPr>
      <w:rFonts w:asciiTheme="minorHAnsi" w:hAnsiTheme="minorHAnsi" w:cstheme="minorBidi"/>
      <w:sz w:val="22"/>
      <w:szCs w:val="22"/>
      <w:lang w:val="en-US" w:eastAsia="zh-CN"/>
    </w:rPr>
  </w:style>
  <w:style w:type="character" w:customStyle="1" w:styleId="KeinLeerraumZchn">
    <w:name w:val="Kein Leerraum Zchn"/>
    <w:basedOn w:val="Absatz-Standardschriftart"/>
    <w:link w:val="KeinLeerraum"/>
    <w:uiPriority w:val="1"/>
    <w:rsid w:val="00833FAD"/>
    <w:rPr>
      <w:rFonts w:asciiTheme="minorHAnsi" w:hAnsiTheme="minorHAnsi" w:cstheme="minorBidi"/>
      <w:sz w:val="22"/>
      <w:szCs w:val="22"/>
      <w:lang w:val="en-US" w:eastAsia="zh-CN"/>
    </w:rPr>
  </w:style>
  <w:style w:type="paragraph" w:customStyle="1" w:styleId="p1">
    <w:name w:val="p1"/>
    <w:basedOn w:val="Standard"/>
    <w:rsid w:val="00B71B86"/>
    <w:pPr>
      <w:spacing w:line="170" w:lineRule="atLeast"/>
      <w:jc w:val="both"/>
    </w:pPr>
    <w:rPr>
      <w:rFonts w:ascii="AkkuratStd" w:hAnsi="AkkuratStd"/>
      <w:sz w:val="12"/>
      <w:szCs w:val="12"/>
    </w:rPr>
  </w:style>
  <w:style w:type="paragraph" w:customStyle="1" w:styleId="p2">
    <w:name w:val="p2"/>
    <w:basedOn w:val="Standard"/>
    <w:rsid w:val="00B71B86"/>
    <w:pPr>
      <w:spacing w:line="170" w:lineRule="atLeast"/>
      <w:jc w:val="both"/>
    </w:pPr>
    <w:rPr>
      <w:rFonts w:ascii="AkkuratStd" w:hAnsi="AkkuratStd"/>
      <w:sz w:val="12"/>
      <w:szCs w:val="12"/>
    </w:rPr>
  </w:style>
  <w:style w:type="character" w:customStyle="1" w:styleId="apple-converted-space">
    <w:name w:val="apple-converted-space"/>
    <w:basedOn w:val="Absatz-Standardschriftart"/>
    <w:rsid w:val="00B71B86"/>
  </w:style>
  <w:style w:type="character" w:styleId="Hyperlink">
    <w:name w:val="Hyperlink"/>
    <w:basedOn w:val="Absatz-Standardschriftart"/>
    <w:uiPriority w:val="99"/>
    <w:semiHidden/>
    <w:unhideWhenUsed/>
    <w:rsid w:val="00DA079C"/>
    <w:rPr>
      <w:color w:val="0000FF"/>
      <w:u w:val="single"/>
    </w:rPr>
  </w:style>
  <w:style w:type="character" w:styleId="Kommentarzeichen">
    <w:name w:val="annotation reference"/>
    <w:basedOn w:val="Absatz-Standardschriftart"/>
    <w:uiPriority w:val="99"/>
    <w:semiHidden/>
    <w:unhideWhenUsed/>
    <w:rsid w:val="002079BB"/>
    <w:rPr>
      <w:sz w:val="16"/>
      <w:szCs w:val="16"/>
    </w:rPr>
  </w:style>
  <w:style w:type="paragraph" w:styleId="Kommentartext">
    <w:name w:val="annotation text"/>
    <w:basedOn w:val="Standard"/>
    <w:link w:val="KommentartextZchn"/>
    <w:uiPriority w:val="99"/>
    <w:semiHidden/>
    <w:unhideWhenUsed/>
    <w:rsid w:val="002079BB"/>
    <w:rPr>
      <w:sz w:val="20"/>
      <w:szCs w:val="20"/>
    </w:rPr>
  </w:style>
  <w:style w:type="character" w:customStyle="1" w:styleId="KommentartextZchn">
    <w:name w:val="Kommentartext Zchn"/>
    <w:basedOn w:val="Absatz-Standardschriftart"/>
    <w:link w:val="Kommentartext"/>
    <w:uiPriority w:val="99"/>
    <w:semiHidden/>
    <w:rsid w:val="002079BB"/>
    <w:rPr>
      <w:lang w:eastAsia="de-DE"/>
    </w:rPr>
  </w:style>
  <w:style w:type="paragraph" w:styleId="Kommentarthema">
    <w:name w:val="annotation subject"/>
    <w:basedOn w:val="Kommentartext"/>
    <w:next w:val="Kommentartext"/>
    <w:link w:val="KommentarthemaZchn"/>
    <w:uiPriority w:val="99"/>
    <w:semiHidden/>
    <w:unhideWhenUsed/>
    <w:rsid w:val="002079BB"/>
    <w:rPr>
      <w:b/>
      <w:bCs/>
    </w:rPr>
  </w:style>
  <w:style w:type="character" w:customStyle="1" w:styleId="KommentarthemaZchn">
    <w:name w:val="Kommentarthema Zchn"/>
    <w:basedOn w:val="KommentartextZchn"/>
    <w:link w:val="Kommentarthema"/>
    <w:uiPriority w:val="99"/>
    <w:semiHidden/>
    <w:rsid w:val="002079BB"/>
    <w:rPr>
      <w:b/>
      <w:bCs/>
      <w:lang w:eastAsia="de-DE"/>
    </w:rPr>
  </w:style>
  <w:style w:type="paragraph" w:styleId="berarbeitung">
    <w:name w:val="Revision"/>
    <w:hidden/>
    <w:uiPriority w:val="99"/>
    <w:semiHidden/>
    <w:rsid w:val="002079BB"/>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908330">
      <w:bodyDiv w:val="1"/>
      <w:marLeft w:val="0"/>
      <w:marRight w:val="0"/>
      <w:marTop w:val="0"/>
      <w:marBottom w:val="0"/>
      <w:divBdr>
        <w:top w:val="none" w:sz="0" w:space="0" w:color="auto"/>
        <w:left w:val="none" w:sz="0" w:space="0" w:color="auto"/>
        <w:bottom w:val="none" w:sz="0" w:space="0" w:color="auto"/>
        <w:right w:val="none" w:sz="0" w:space="0" w:color="auto"/>
      </w:divBdr>
      <w:divsChild>
        <w:div w:id="873157065">
          <w:marLeft w:val="547"/>
          <w:marRight w:val="0"/>
          <w:marTop w:val="86"/>
          <w:marBottom w:val="0"/>
          <w:divBdr>
            <w:top w:val="none" w:sz="0" w:space="0" w:color="auto"/>
            <w:left w:val="none" w:sz="0" w:space="0" w:color="auto"/>
            <w:bottom w:val="none" w:sz="0" w:space="0" w:color="auto"/>
            <w:right w:val="none" w:sz="0" w:space="0" w:color="auto"/>
          </w:divBdr>
        </w:div>
      </w:divsChild>
    </w:div>
    <w:div w:id="923954419">
      <w:bodyDiv w:val="1"/>
      <w:marLeft w:val="0"/>
      <w:marRight w:val="0"/>
      <w:marTop w:val="0"/>
      <w:marBottom w:val="0"/>
      <w:divBdr>
        <w:top w:val="none" w:sz="0" w:space="0" w:color="auto"/>
        <w:left w:val="none" w:sz="0" w:space="0" w:color="auto"/>
        <w:bottom w:val="none" w:sz="0" w:space="0" w:color="auto"/>
        <w:right w:val="none" w:sz="0" w:space="0" w:color="auto"/>
      </w:divBdr>
    </w:div>
    <w:div w:id="1374966304">
      <w:bodyDiv w:val="1"/>
      <w:marLeft w:val="0"/>
      <w:marRight w:val="0"/>
      <w:marTop w:val="0"/>
      <w:marBottom w:val="0"/>
      <w:divBdr>
        <w:top w:val="none" w:sz="0" w:space="0" w:color="auto"/>
        <w:left w:val="none" w:sz="0" w:space="0" w:color="auto"/>
        <w:bottom w:val="none" w:sz="0" w:space="0" w:color="auto"/>
        <w:right w:val="none" w:sz="0" w:space="0" w:color="auto"/>
      </w:divBdr>
    </w:div>
    <w:div w:id="1485505515">
      <w:bodyDiv w:val="1"/>
      <w:marLeft w:val="0"/>
      <w:marRight w:val="0"/>
      <w:marTop w:val="0"/>
      <w:marBottom w:val="0"/>
      <w:divBdr>
        <w:top w:val="none" w:sz="0" w:space="0" w:color="auto"/>
        <w:left w:val="none" w:sz="0" w:space="0" w:color="auto"/>
        <w:bottom w:val="none" w:sz="0" w:space="0" w:color="auto"/>
        <w:right w:val="none" w:sz="0" w:space="0" w:color="auto"/>
      </w:divBdr>
    </w:div>
    <w:div w:id="1952974120">
      <w:bodyDiv w:val="1"/>
      <w:marLeft w:val="0"/>
      <w:marRight w:val="0"/>
      <w:marTop w:val="0"/>
      <w:marBottom w:val="0"/>
      <w:divBdr>
        <w:top w:val="none" w:sz="0" w:space="0" w:color="auto"/>
        <w:left w:val="none" w:sz="0" w:space="0" w:color="auto"/>
        <w:bottom w:val="none" w:sz="0" w:space="0" w:color="auto"/>
        <w:right w:val="none" w:sz="0" w:space="0" w:color="auto"/>
      </w:divBdr>
    </w:div>
    <w:div w:id="2044821418">
      <w:bodyDiv w:val="1"/>
      <w:marLeft w:val="0"/>
      <w:marRight w:val="0"/>
      <w:marTop w:val="0"/>
      <w:marBottom w:val="0"/>
      <w:divBdr>
        <w:top w:val="none" w:sz="0" w:space="0" w:color="auto"/>
        <w:left w:val="none" w:sz="0" w:space="0" w:color="auto"/>
        <w:bottom w:val="none" w:sz="0" w:space="0" w:color="auto"/>
        <w:right w:val="none" w:sz="0" w:space="0" w:color="auto"/>
      </w:divBdr>
      <w:divsChild>
        <w:div w:id="1950697560">
          <w:marLeft w:val="0"/>
          <w:marRight w:val="0"/>
          <w:marTop w:val="0"/>
          <w:marBottom w:val="0"/>
          <w:divBdr>
            <w:top w:val="none" w:sz="0" w:space="0" w:color="auto"/>
            <w:left w:val="none" w:sz="0" w:space="0" w:color="auto"/>
            <w:bottom w:val="none" w:sz="0" w:space="0" w:color="auto"/>
            <w:right w:val="none" w:sz="0" w:space="0" w:color="auto"/>
          </w:divBdr>
          <w:divsChild>
            <w:div w:id="11667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1446FD-4620-424B-A9D2-7F63E759B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2229</Words>
  <Characters>14047</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Beispiel nachhaltiges Anlagereglement für NPO</vt:lpstr>
    </vt:vector>
  </TitlesOfParts>
  <Company>www.zewo.ch</Company>
  <LinksUpToDate>false</LinksUpToDate>
  <CharactersWithSpaces>16244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 nachhaltiges Anlagereglement für NPO</dc:title>
  <dc:creator>Stiftung Zewo</dc:creator>
  <cp:lastModifiedBy>Annemarie Widmer</cp:lastModifiedBy>
  <cp:revision>10</cp:revision>
  <cp:lastPrinted>2017-08-17T07:50:00Z</cp:lastPrinted>
  <dcterms:created xsi:type="dcterms:W3CDTF">2018-08-20T11:09:00Z</dcterms:created>
  <dcterms:modified xsi:type="dcterms:W3CDTF">2018-08-28T09:49:00Z</dcterms:modified>
</cp:coreProperties>
</file>